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qb-20261023x8k.htm"/>
      <w:bookmarkStart w:id="1" w:name="ksaqb20261023x8k"/>
      <w:bookmarkStart w:id="2" w:name="aqb-20261023x8k.htm"/>
      <w:bookmarkStart w:id="3" w:name="ksaqb20261023x8k"/>
      <w:bookmarkEnd w:id="2"/>
      <w:bookmarkEnd w:id="3"/>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UNITED STATES</w:t>
      </w:r>
    </w:p>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SECURITIES AND EXCHANGE COMMISSION</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Washington, D.C. 20549</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w:t>
      </w:r>
    </w:p>
    <w:p>
      <w:pPr>
        <w:pStyle w:val="TextBody"/>
        <w:bidi w:val="0"/>
        <w:spacing w:lineRule="auto" w:line="288"/>
        <w:rPr>
          <w:rFonts w:ascii="Times New Roman;serif" w:hAnsi="Times New Roman;serif"/>
          <w:b/>
          <w:i w:val="false"/>
          <w:caps w:val="false"/>
          <w:smallCaps w:val="false"/>
          <w:sz w:val="44"/>
        </w:rPr>
      </w:pPr>
      <w:r>
        <w:rPr>
          <w:rFonts w:ascii="Times New Roman;serif" w:hAnsi="Times New Roman;serif"/>
          <w:b/>
          <w:i w:val="false"/>
          <w:caps w:val="false"/>
          <w:smallCaps w:val="false"/>
          <w:sz w:val="44"/>
        </w:rPr>
        <w:t>Form 8-K</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 Securities Exchange Act of 1934</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October 23, 2026</w:t>
      </w:r>
    </w:p>
    <w:p>
      <w:pPr>
        <w:pStyle w:val="TextBody"/>
        <w:bidi w:val="0"/>
        <w:spacing w:lineRule="auto" w:line="288"/>
        <w:rPr>
          <w:rFonts w:ascii="Times New Roman;serif" w:hAnsi="Times New Roman;serif"/>
          <w:b/>
          <w:i w:val="false"/>
          <w:caps w:val="false"/>
          <w:smallCaps w:val="false"/>
          <w:color w:val="000000"/>
          <w:sz w:val="44"/>
        </w:rPr>
      </w:pPr>
      <w:r>
        <w:rPr>
          <w:rFonts w:ascii="Times New Roman;serif" w:hAnsi="Times New Roman;serif"/>
          <w:b/>
          <w:i w:val="false"/>
          <w:caps w:val="false"/>
          <w:smallCaps w:val="false"/>
          <w:color w:val="000000"/>
          <w:sz w:val="44"/>
        </w:rPr>
        <w:t>AquaBounty Technologies, Inc.</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88" w:type="dxa"/>
        <w:jc w:val="center"/>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001-36426</w:t>
            </w:r>
            <w:r>
              <w:rPr>
                <w:rFonts w:ascii="Times New Roman;serif" w:hAnsi="Times New Roman;serif"/>
                <w:caps w:val="false"/>
                <w:smallCaps w:val="false"/>
                <w:sz w:val="20"/>
              </w:rPr>
              <w:t xml:space="preserve"> </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04-3156167</w:t>
            </w:r>
            <w:r>
              <w:rPr>
                <w:rFonts w:ascii="Times New Roman;serif" w:hAnsi="Times New Roman;serif"/>
                <w:caps w:val="false"/>
                <w:smallCaps w:val="false"/>
                <w:color w:val="000000"/>
                <w:sz w:val="20"/>
              </w:rPr>
              <w:t xml:space="preserve"> </w:t>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(State or other jurisdiction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of incorporation)</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(Commission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File Number)</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(IRS Employer</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Identification No.)</w:t>
            </w:r>
          </w:p>
        </w:tc>
      </w:tr>
    </w:tbl>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 Ayer Road, Suite 4, Harvard, Massachusetts</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01451</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978-648-6000</w:t>
      </w:r>
    </w:p>
    <w:p>
      <w:pPr>
        <w:pStyle w:val="TextBody"/>
        <w:bidi w:val="0"/>
        <w:spacing w:lineRule="auto" w:line="288" w:before="0" w:after="100"/>
        <w:ind w:left="274" w:right="0" w:hanging="187"/>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9527" w:type="dxa"/>
        <w:jc w:val="left"/>
        <w:tblInd w:w="0" w:type="dxa"/>
        <w:tblLayout w:type="fixed"/>
        <w:tblCellMar>
          <w:top w:w="0" w:type="dxa"/>
          <w:left w:w="0" w:type="dxa"/>
          <w:bottom w:w="0" w:type="dxa"/>
          <w:right w:w="0" w:type="dxa"/>
        </w:tblCellMar>
      </w:tblPr>
      <w:tblGrid>
        <w:gridCol w:w="346"/>
        <w:gridCol w:w="9181"/>
      </w:tblGrid>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718" w:type="dxa"/>
        <w:jc w:val="center"/>
        <w:tblInd w:w="0" w:type="dxa"/>
        <w:tblLayout w:type="fixed"/>
        <w:tblCellMar>
          <w:top w:w="28" w:type="dxa"/>
          <w:left w:w="108" w:type="dxa"/>
          <w:bottom w:w="28" w:type="dxa"/>
          <w:right w:w="108" w:type="dxa"/>
        </w:tblCellMar>
      </w:tblPr>
      <w:tblGrid>
        <w:gridCol w:w="3811"/>
        <w:gridCol w:w="1621"/>
        <w:gridCol w:w="3286"/>
      </w:tblGrid>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exchange on which registered</w:t>
            </w:r>
          </w:p>
        </w:tc>
      </w:tr>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Common Stock, par value $0.001 per share</w:t>
            </w:r>
            <w:r>
              <w:rPr>
                <w:rFonts w:ascii="Times New Roman;serif" w:hAnsi="Times New Roman;serif"/>
                <w:caps w:val="false"/>
                <w:smallCaps w:val="false"/>
                <w:sz w:val="20"/>
              </w:rPr>
              <w:t xml:space="preserve"> </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AQB</w:t>
            </w:r>
            <w:r>
              <w:rPr>
                <w:rFonts w:ascii="Times New Roman;serif" w:hAnsi="Times New Roman;serif"/>
                <w:caps w:val="false"/>
                <w:smallCaps w:val="false"/>
                <w:color w:val="000000"/>
                <w:sz w:val="20"/>
              </w:rPr>
              <w:t xml:space="preserve"> </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The NASDAQ</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Stock Market LLC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Emerging growth company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8.01 Other Events.</w:t>
      </w:r>
    </w:p>
    <w:p>
      <w:pPr>
        <w:pStyle w:val="TextBody"/>
        <w:bidi w:val="0"/>
        <w:spacing w:lineRule="auto" w:line="259" w:before="0" w:after="1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on October 7, 2026, AquaBounty Technologies, Inc. (the “Company”) entered into conversion agreements with the holders of all outstanding shares of its Series A Convertible Preferred Stock (the “Series A Preferred Stock”) and Series B Convertible Preferred Stock (the “Series B Preferred Stock” and, together with the Series A Preferred Stock, the “Preferred Stock”), under which all outstanding shares of Preferred Stock would automatically convert into shares of the Company’s common stock, par value $0.001 per share (the “Common Stock”), upon the effectiveness of the Company’s registration statement on Form S-3 covering the resale of those shares.</w:t>
      </w:r>
    </w:p>
    <w:p>
      <w:pPr>
        <w:pStyle w:val="TextBody"/>
        <w:bidi w:val="0"/>
        <w:spacing w:lineRule="auto" w:line="259" w:before="0" w:after="1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October 23, 2026, the Securities and Exchange Commission declared the Company’s Registration Statement on Form S-3 effective. Accordingly, on that date, all 263,753 outstanding shares of Series A Preferred Stock and all 109,223 outstanding shares of Series B Preferred Stock automatically converted into an aggregate of 8,077,043 shares of Common Stock, consisting of 5,771,929 shares issued upon conversion of the Series A Preferred Stock and 2,305,114 shares issued upon conversion of the Series B Preferred Stock. Following the conversion, no shares of Preferred Stock remain outstanding.</w:t>
      </w:r>
    </w:p>
    <w:p>
      <w:pPr>
        <w:pStyle w:val="TextBody"/>
        <w:bidi w:val="0"/>
        <w:spacing w:lineRule="auto" w:line="259" w:before="0" w:after="1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the conversion, there were 13,291,953 shares of Common Stock outstanding as of October 23, 2026.</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br/>
        <w:t>‎</w:t>
      </w:r>
      <w:r>
        <w:rPr>
          <w:rFonts w:ascii="Times New Roman;serif" w:hAnsi="Times New Roman;serif"/>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SIGNATURES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tbl>
      <w:tblPr>
        <w:tblW w:w="7911" w:type="dxa"/>
        <w:jc w:val="left"/>
        <w:tblInd w:w="0" w:type="dxa"/>
        <w:tblLayout w:type="fixed"/>
        <w:tblCellMar>
          <w:top w:w="0" w:type="dxa"/>
          <w:left w:w="0" w:type="dxa"/>
          <w:bottom w:w="0" w:type="dxa"/>
          <w:right w:w="0" w:type="dxa"/>
        </w:tblCellMar>
      </w:tblPr>
      <w:tblGrid>
        <w:gridCol w:w="2011"/>
        <w:gridCol w:w="109"/>
        <w:gridCol w:w="579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AquaBounty Technologies, Inc.</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October 23, 2026</w:t>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David A. Frank</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David A. Frank</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Interim Chief Executive Officer, Chief Financial Officer and Treasurer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567</Words>
  <Characters>3194</Characters>
  <CharactersWithSpaces>3721</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