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AquaBounty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About Investment Pte.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337,355.00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337,355.00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337,355.00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more fully described in Item 4 of this Statement on Schedule 13G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such shares and percentage are based on 5,147,204 shares of common stock, par value $0.001 per share, of the issuer (the ''Common Stock'') outstanding as of May 5, 2026, as disclosed in the issuer's Quarterly Report on Form 10-Q for the period ended March 31, 2026, filed with the U.S. Securities and Exchange Commission on May 7, 2026 (the "Form 10-Q''). Ownership consists of 337,355 shares of Common Stock issuable upon conversion of shares of Series A Convertible Preferred Stock, par value $0.01 per share, of the issuer (the ''Preferred Stock'') held directly by the reporting person, conversions of which are subject to a beneficial ownership limitation provision (the ''Blocker'') contained in the issuer's Certificate of Designations of the Preferred Stock (the ''Certificate of Designations'').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Jiaming Li</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CHINA</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337,355.00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337,355.00</w:t>
            </w:r>
          </w:p>
        </w:tc>
        <w:tc>
          <w:tcPr>
            <w:tcW w:w="0" w:type="dxa"/>
            <w:vAlign w:val="bottom"/>
          </w:tcPr>
          <w:p>
            <w:pPr>
              <w:spacing w:after="0"/>
              <w:rPr>
                <w:sz w:val="1"/>
                <w:szCs w:val="1"/>
                <w:color w:val="auto"/>
              </w:rPr>
            </w:pPr>
          </w:p>
        </w:tc>
      </w:tr>
    </w:tbl>
    <w:p>
      <w:pPr>
        <w:sectPr>
          <w:pgSz w:w="11900" w:h="16838" w:orient="portrait"/>
          <w:cols w:equalWidth="0" w:num="1">
            <w:col w:w="11220"/>
          </w:cols>
          <w:pgMar w:left="320" w:top="102" w:right="359" w:bottom="0" w:gutter="0" w:footer="0" w:header="0"/>
        </w:sectPr>
      </w:pPr>
    </w:p>
    <w:bookmarkStart w:id="2" w:name="page3"/>
    <w:bookmarkEnd w:id="2"/>
    <w:p>
      <w:pPr>
        <w:ind w:left="1160" w:right="4220" w:hanging="1112"/>
        <w:spacing w:after="0" w:line="371" w:lineRule="auto"/>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337,355.00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more fully described in Item 4 of this Schedule 13G, such shares and percentage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based on 5,147,204 shares of Common Stock outstanding as of May 5, 2026, as disclosed in the Form 10-Q. Ownership consists of 337,355 shares of Common Stock issuable upon conversion of shares of Preferred Stock held indirectly by the reporting person, which conversions are subject to the Blocker in the Certificate of Designations.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AquaBounty Technologies,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233 Ayer Road, Suite 4, Harvard, Massachusetts 01451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line="253" w:lineRule="auto"/>
        <w:rPr>
          <w:sz w:val="20"/>
          <w:szCs w:val="20"/>
          <w:color w:val="auto"/>
        </w:rPr>
      </w:pPr>
      <w:r>
        <w:rPr>
          <w:rFonts w:ascii="Times New Roman" w:cs="Times New Roman" w:eastAsia="Times New Roman" w:hAnsi="Times New Roman"/>
          <w:sz w:val="21"/>
          <w:szCs w:val="21"/>
          <w:color w:val="auto"/>
        </w:rPr>
        <w:t>(i) About Investment Pte. Ltd, a private limited Singapore company ("About Investment"); and (ii) Jiaming Li ("Mr. Li"). The foregoing persons are hereinafter collectively referred to as the "Reporting Persons". Any disclosures herein</w:t>
      </w:r>
    </w:p>
    <w:p>
      <w:pPr>
        <w:ind w:left="960" w:hanging="912"/>
        <w:spacing w:after="0" w:line="201" w:lineRule="auto"/>
        <w:tabs>
          <w:tab w:leader="none" w:pos="96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with respect to persons other than the Reporting Persons are made on information and belief after making inquiry to the appropriate party. The Reporting Persons have entered into a Joint Filing Agreement, a copy of which is filed as Exhibit 1 to this Schedule 13G, pursuant to which such Reporting Persons have agreed to file this Schedule 13G and all subsequent amendments to the Schedule 13G jointly in accordance with the provisions of Rule 13d-1(k) of the Act. The filing of this Schedule 13G should not be construed in and of itself as an admission by any Reporting Person as to beneficial ownership of the shares of Common Stock reported herein.</w:t>
      </w:r>
    </w:p>
    <w:p>
      <w:pPr>
        <w:spacing w:after="0" w:line="14"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principal business address of each of the Reporting Persons is 71 Robinson Road, Singapore, 068895.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About Investment Pte. Ltd is a private limited company in Singapore. Mr. Li is a citizen of China.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ind w:left="960" w:hanging="912"/>
        <w:spacing w:after="0" w:line="180" w:lineRule="auto"/>
        <w:tabs>
          <w:tab w:leader="none" w:pos="960" w:val="left"/>
        </w:tabs>
        <w:numPr>
          <w:ilvl w:val="0"/>
          <w:numId w:val="7"/>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6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ectPr>
          <w:pgSz w:w="11900" w:h="16838" w:orient="portrait"/>
          <w:cols w:equalWidth="0" w:num="1">
            <w:col w:w="11160"/>
          </w:cols>
          <w:pgMar w:left="320" w:top="111" w:right="419" w:bottom="0" w:gutter="0" w:footer="0" w:header="0"/>
        </w:sectPr>
      </w:pPr>
    </w:p>
    <w:bookmarkStart w:id="3" w:name="page4"/>
    <w:bookmarkEnd w:id="3"/>
    <w:p>
      <w:pPr>
        <w:spacing w:after="0" w:line="107" w:lineRule="exact"/>
        <w:rPr>
          <w:sz w:val="20"/>
          <w:szCs w:val="20"/>
          <w:color w:val="auto"/>
        </w:rPr>
      </w:pPr>
    </w:p>
    <w:p>
      <w:pPr>
        <w:ind w:left="920" w:right="1000" w:hanging="912"/>
        <w:spacing w:after="0" w:line="241"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specify the type of institution:</w:t>
      </w:r>
    </w:p>
    <w:p>
      <w:pPr>
        <w:spacing w:after="0" w:line="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5" w:lineRule="auto"/>
        <w:rPr>
          <w:sz w:val="20"/>
          <w:szCs w:val="20"/>
          <w:color w:val="auto"/>
        </w:rPr>
      </w:pPr>
      <w:r>
        <w:rPr>
          <w:rFonts w:ascii="Times New Roman" w:cs="Times New Roman" w:eastAsia="Times New Roman" w:hAnsi="Times New Roman"/>
          <w:sz w:val="21"/>
          <w:szCs w:val="21"/>
          <w:color w:val="auto"/>
        </w:rPr>
        <w:t>The information required by this item with respect to each Reporting Person is set forth in Rows 5 through 9 and 11 of the cover pages to this Schedule 13G and is incorporated herein by reference for each such Reporting Person. The share amounts and ownership percentages reported are based on 5,147,204 shares of Common Stock outstanding as of May 5, 2026, as disclosed in the Form 10-Q. About Investment holds 86,478 shares of Preferred Stock, convertible into up to 1,729,560 shares of Common Stock, conversions of which are subject to the Blocker, which prohibits holders of shares of Preferred Stock from converting such shares into shares of Common Stock if, as a result of such</w:t>
      </w:r>
    </w:p>
    <w:p>
      <w:pPr>
        <w:spacing w:after="0" w:line="3" w:lineRule="exact"/>
        <w:rPr>
          <w:sz w:val="20"/>
          <w:szCs w:val="20"/>
          <w:color w:val="auto"/>
        </w:rPr>
      </w:pPr>
    </w:p>
    <w:p>
      <w:pPr>
        <w:ind w:left="920" w:right="60" w:hanging="912"/>
        <w:spacing w:after="0" w:line="243" w:lineRule="auto"/>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conversion, it, together with its affiliates, any persons acting as a group together with it or any of such affiliates, and all other holders of shares of Preferred Stock would receive more than 19.99% of the total number of shares of Common Stock outstanding immediately prior to April 7, 2026 (the date of first sale of any shares of Preferred Stock), unless stockholder approval is obtained, or no longer required to be obtained by the national securities exchange on which the Common Stock is listed. On April 7, 2026, there were also 5,147,204 shares of Common Stock outstanding. Consequently, About Investment is the beneficial owner of 337,355 shares of Common Stock (the "Shares"). About Investment has the power to dispose of and the power to vote the Shares, which power may be exercised by its Chief Executive Officer and Executive Director, Mr. Li. Mr. Li does not directly own the Shares. By reason of the provisions of Rule 13d-3 of the Act, Mr. Li may be deemed to beneficially own the Shares.</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 About Investment: 6.15% (B) Mr. Li: 6.15%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45" w:orient="portrait"/>
          <w:cols w:equalWidth="0" w:num="1">
            <w:col w:w="11120"/>
          </w:cols>
          <w:pgMar w:left="360" w:top="126"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About Investment: 0.00 (B) Mr. Li: 0.00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About Investment: 337,355.00 (B) Mr. Li: 337,355.00</w:t>
      </w:r>
    </w:p>
    <w:p>
      <w:pPr>
        <w:spacing w:after="0" w:line="287" w:lineRule="exact"/>
        <w:rPr>
          <w:sz w:val="20"/>
          <w:szCs w:val="20"/>
          <w:color w:val="auto"/>
        </w:rPr>
      </w:pPr>
    </w:p>
    <w:p>
      <w:pPr>
        <w:ind w:left="380" w:hanging="374"/>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About Investment: 0.00 (B) Mr. Li: 0.00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right="5160"/>
        <w:spacing w:after="0" w:line="5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About Investment: 337,355.00 (B) Mr. Li: 337,355.00 Ownership of 5 Percent or Less of a Class.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945" w:orient="portrait"/>
          <w:cols w:equalWidth="0" w:num="2">
            <w:col w:w="620" w:space="300"/>
            <w:col w:w="10200"/>
          </w:cols>
          <w:pgMar w:left="360" w:top="126"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1 filed herewith.</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20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w:t>
      </w:r>
    </w:p>
    <w:p>
      <w:pPr>
        <w:sectPr>
          <w:pgSz w:w="11900" w:h="16945" w:orient="portrait"/>
          <w:cols w:equalWidth="0" w:num="1">
            <w:col w:w="11120"/>
          </w:cols>
          <w:pgMar w:left="360" w:top="126" w:right="419" w:bottom="0" w:gutter="0" w:footer="0" w:header="0"/>
          <w:type w:val="continuous"/>
        </w:sectPr>
      </w:pPr>
    </w:p>
    <w:bookmarkStart w:id="4" w:name="page5"/>
    <w:bookmarkEnd w:id="4"/>
    <w:p>
      <w:pPr>
        <w:ind w:left="980" w:right="160"/>
        <w:spacing w:after="0" w:line="259" w:lineRule="auto"/>
        <w:rPr>
          <w:sz w:val="20"/>
          <w:szCs w:val="20"/>
          <w:color w:val="auto"/>
        </w:rPr>
      </w:pPr>
      <w:r>
        <w:rPr>
          <w:rFonts w:ascii="Times New Roman" w:cs="Times New Roman" w:eastAsia="Times New Roman" w:hAnsi="Times New Roman"/>
          <w:sz w:val="22"/>
          <w:szCs w:val="22"/>
          <w:color w:val="auto"/>
        </w:rPr>
        <w:t>the securities and were not acquired and are not held in 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About Investment Pte. Ltd</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Jiaming Li</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Jiaming Li, Chief Executive Officer and</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Executive Director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Jiaming Li</w:t>
      </w:r>
    </w:p>
    <w:p>
      <w:pPr>
        <w:spacing w:after="0" w:line="152" w:lineRule="exact"/>
        <w:rPr>
          <w:sz w:val="20"/>
          <w:szCs w:val="20"/>
          <w:color w:val="auto"/>
        </w:rPr>
      </w:pPr>
    </w:p>
    <w:p>
      <w:pPr>
        <w:ind w:left="2500"/>
        <w:spacing w:after="0"/>
        <w:tabs>
          <w:tab w:leader="none" w:pos="3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Jiaming Li</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Jiaming Li</w:t>
      </w:r>
    </w:p>
    <w:p>
      <w:pPr>
        <w:spacing w:after="0" w:line="44" w:lineRule="exact"/>
        <w:rPr>
          <w:sz w:val="20"/>
          <w:szCs w:val="20"/>
          <w:color w:val="auto"/>
        </w:rPr>
      </w:pPr>
    </w:p>
    <w:p>
      <w:pPr>
        <w:ind w:left="2500"/>
        <w:spacing w:after="0"/>
        <w:tabs>
          <w:tab w:leader="none" w:pos="3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05/21/2026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See Exhibit 1 filed herewith.</w:t>
      </w:r>
    </w:p>
    <w:p>
      <w:pPr>
        <w:sectPr>
          <w:pgSz w:w="11900" w:h="16838" w:orient="portrait"/>
          <w:cols w:equalWidth="0" w:num="1">
            <w:col w:w="11180"/>
          </w:cols>
          <w:pgMar w:left="320" w:top="112" w:right="39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3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 The undersigned hereby further agree that this Joint Filing Agreement may be executed in any number of counterparts, each of which when so executed shall be deemed to be an original, but all of which counterparts shall together constitute one and the same instrument.</w:t>
      </w:r>
    </w:p>
    <w:p>
      <w:pPr>
        <w:spacing w:after="0" w:line="200" w:lineRule="exact"/>
        <w:rPr>
          <w:sz w:val="20"/>
          <w:szCs w:val="20"/>
          <w:color w:val="auto"/>
        </w:rPr>
      </w:pPr>
    </w:p>
    <w:p>
      <w:pPr>
        <w:spacing w:after="0" w:line="205" w:lineRule="exact"/>
        <w:rPr>
          <w:sz w:val="20"/>
          <w:szCs w:val="20"/>
          <w:color w:val="auto"/>
        </w:rPr>
      </w:pPr>
    </w:p>
    <w:p>
      <w:pPr>
        <w:spacing w:after="0"/>
        <w:tabs>
          <w:tab w:leader="none" w:pos="7620" w:val="left"/>
        </w:tabs>
        <w:rPr>
          <w:sz w:val="20"/>
          <w:szCs w:val="20"/>
          <w:color w:val="auto"/>
        </w:rPr>
      </w:pPr>
      <w:r>
        <w:rPr>
          <w:rFonts w:ascii="Times New Roman" w:cs="Times New Roman" w:eastAsia="Times New Roman" w:hAnsi="Times New Roman"/>
          <w:sz w:val="18"/>
          <w:szCs w:val="18"/>
          <w:color w:val="auto"/>
        </w:rPr>
        <w:t>Date: May 21, 2026</w:t>
      </w:r>
      <w:r>
        <w:rPr>
          <w:sz w:val="20"/>
          <w:szCs w:val="20"/>
          <w:color w:val="auto"/>
        </w:rPr>
        <w:tab/>
      </w:r>
      <w:r>
        <w:rPr>
          <w:rFonts w:ascii="Times New Roman" w:cs="Times New Roman" w:eastAsia="Times New Roman" w:hAnsi="Times New Roman"/>
          <w:sz w:val="17"/>
          <w:szCs w:val="17"/>
          <w:color w:val="auto"/>
        </w:rPr>
        <w:t>ABOUT INVESTMENT PTE. LTD</w:t>
      </w:r>
    </w:p>
    <w:p>
      <w:pPr>
        <w:spacing w:after="0" w:line="252"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By:/s/ Jiaming Li</w:t>
      </w:r>
    </w:p>
    <w:p>
      <w:pPr>
        <w:spacing w:after="0" w:line="5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Name: Jiaming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-127635</wp:posOffset>
            </wp:positionV>
            <wp:extent cx="21170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7"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Title: Chief Executive Officer and Executive</w:t>
      </w:r>
    </w:p>
    <w:p>
      <w:pPr>
        <w:spacing w:after="0" w:line="23"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Director</w:t>
      </w:r>
    </w:p>
    <w:p>
      <w:pPr>
        <w:spacing w:after="0" w:line="23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/s/ Jiaming Li</w:t>
      </w:r>
    </w:p>
    <w:p>
      <w:pPr>
        <w:spacing w:after="0" w:line="5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Jiaming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-127635</wp:posOffset>
            </wp:positionV>
            <wp:extent cx="22885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5"/>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0"/>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2026-05-21T16:52:25Z</dcterms:created>
  <dcterms:modified xsi:type="dcterms:W3CDTF">2026-05-21T16:52:25Z</dcterms:modified>
</cp:coreProperties>
</file>