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20, 2021</w:t>
      </w:r>
    </w:p>
    <w:p>
      <w:pPr>
        <w:spacing w:after="0" w:line="31" w:lineRule="exact"/>
        <w:rPr>
          <w:sz w:val="24"/>
          <w:szCs w:val="24"/>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AquaBounty Technologies, Inc.</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04-3156167</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Two Mill &amp; Main Place, Suite 395</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Maynard, Massachusetts 01754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(978) 648-6000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David A. Frank</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AquaBounty Technologies, Inc.</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Two Mill &amp; Main Place, Suite 395</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Maynard, Massachusetts 01754</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(978) 648-6000</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Jocelyn A. Arel, Esq.</w:t>
            </w:r>
          </w:p>
        </w:tc>
        <w:tc>
          <w:tcPr>
            <w:tcW w:w="55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Angela M. Olsen, Esq.</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Michael J. Minahan, Esq.</w:t>
            </w:r>
          </w:p>
        </w:tc>
        <w:tc>
          <w:tcPr>
            <w:tcW w:w="55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General Counsel and Corporate Secretary</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55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AquaBounty Technologies, Inc.</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100 Northern Ave.</w:t>
            </w:r>
          </w:p>
        </w:tc>
        <w:tc>
          <w:tcPr>
            <w:tcW w:w="55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Two Mill &amp; Main Place, Suite 395</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c>
          <w:tcPr>
            <w:tcW w:w="55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Maynard, Massachusetts 01754</w:t>
            </w:r>
          </w:p>
        </w:tc>
      </w:tr>
      <w:tr>
        <w:trPr>
          <w:trHeight w:val="238"/>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554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(978) 648-6000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this registration statement becomes effective.</w:t>
      </w:r>
    </w:p>
    <w:p>
      <w:pPr>
        <w:spacing w:after="0" w:line="225" w:lineRule="exact"/>
        <w:rPr>
          <w:sz w:val="24"/>
          <w:szCs w:val="24"/>
          <w:color w:val="auto"/>
        </w:rPr>
      </w:pPr>
    </w:p>
    <w:p>
      <w:pPr>
        <w:ind w:left="120"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1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2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left="120"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40"/>
          </w:cols>
          <w:pgMar w:left="320" w:top="226" w:right="539" w:bottom="131" w:gutter="0" w:footer="0" w:header="0"/>
        </w:sectPr>
      </w:pPr>
    </w:p>
    <w:bookmarkStart w:id="1" w:name="page2"/>
    <w:bookmarkEnd w:id="1"/>
    <w:p>
      <w:pPr>
        <w:ind w:left="4" w:right="2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54"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Security(1)(2)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Price(1)</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Fee(3)</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$0.01 par value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auto"/>
              <w:right w:val="single" w:sz="8" w:color="auto"/>
            </w:tcBorders>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$21,820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60"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$200,000 of an indeterminate amount of the securities of each identified class is being registered as may from time to time be offered hereunder at indeterminate prices, along with an indeterminate number of securities as may be issued upon exercise, settlement, conversion or exchange of securities offered or sold hereunder.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required to be included in accordance with General Instruction II.D. of Form S-3.</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has been calculated in accordance with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20,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182245</wp:posOffset>
            </wp:positionV>
            <wp:extent cx="275145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14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or issuances and on terms that we will determine at the time of the offering, any combination of the securities described in this prospectus, up to an aggregate amount of $200,000,000. This prospectus describes the general terms of these securities and the general manner in which these securities will be offered.</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the section titled “Plan of Distribution.”</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“AQB.” On January 15, 2021, the last reported sale price of our common stock on The Nasdaq Capital Market was $11.00 per share.</w:t>
      </w:r>
    </w:p>
    <w:p>
      <w:pPr>
        <w:spacing w:after="0" w:line="15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used in the Jumpstart our Business Startups Act of 2012 and, as such, have elected to avail ourselves of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2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referenced under the heading “</w:t>
      </w:r>
      <w:hyperlink w:anchor="page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contained in this prospectus beginning on page 5 and any applicable prospectus supplement and under similar headings in the other documents that are incorporated by reference into this prospectus.</w:t>
      </w:r>
    </w:p>
    <w:p>
      <w:pPr>
        <w:spacing w:after="0" w:line="18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378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2021.</w:t>
            </w:r>
          </w:p>
        </w:tc>
      </w:tr>
    </w:tbl>
    <w:p>
      <w:pPr>
        <w:sectPr>
          <w:pgSz w:w="11900" w:h="16838" w:orient="portrait"/>
          <w:cols w:equalWidth="0" w:num="1">
            <w:col w:w="11000"/>
          </w:cols>
          <w:pgMar w:left="320" w:top="455" w:right="5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6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2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This Prospectus</w:t>
              </w:r>
            </w:hyperlink>
          </w:p>
        </w:tc>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4200" w:type="dxa"/>
            <w:vAlign w:val="bottom"/>
            <w:vMerge w:val="continue"/>
          </w:tcPr>
          <w:p>
            <w:pPr>
              <w:spacing w:after="0"/>
              <w:rPr>
                <w:sz w:val="19"/>
                <w:szCs w:val="19"/>
                <w:color w:val="auto"/>
              </w:rPr>
            </w:pPr>
          </w:p>
        </w:tc>
        <w:tc>
          <w:tcPr>
            <w:tcW w:w="652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65"/>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Special Note Regarding Forward-Looking Statements</w:t>
              </w:r>
            </w:hyperlink>
          </w:p>
        </w:tc>
        <w:tc>
          <w:tcPr>
            <w:tcW w:w="6820" w:type="dxa"/>
            <w:vAlign w:val="bottom"/>
            <w:gridSpan w:val="2"/>
          </w:tcPr>
          <w:p>
            <w:pPr>
              <w:jc w:val="center"/>
              <w:ind w:left="641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Prospectus Summary</w:t>
              </w:r>
            </w:hyperlink>
          </w:p>
        </w:tc>
        <w:tc>
          <w:tcPr>
            <w:tcW w:w="6820" w:type="dxa"/>
            <w:vAlign w:val="bottom"/>
            <w:gridSpan w:val="2"/>
          </w:tcPr>
          <w:p>
            <w:pPr>
              <w:jc w:val="center"/>
              <w:ind w:left="641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Risk Factors</w:t>
              </w:r>
            </w:hyperlink>
          </w:p>
        </w:tc>
        <w:tc>
          <w:tcPr>
            <w:tcW w:w="6820" w:type="dxa"/>
            <w:vAlign w:val="bottom"/>
            <w:gridSpan w:val="2"/>
          </w:tcPr>
          <w:p>
            <w:pPr>
              <w:jc w:val="center"/>
              <w:ind w:left="641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Use of Proceeds</w:t>
              </w:r>
            </w:hyperlink>
          </w:p>
        </w:tc>
        <w:tc>
          <w:tcPr>
            <w:tcW w:w="6820" w:type="dxa"/>
            <w:vAlign w:val="bottom"/>
            <w:gridSpan w:val="2"/>
          </w:tcPr>
          <w:p>
            <w:pPr>
              <w:jc w:val="center"/>
              <w:ind w:left="6410"/>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The Securities We May Offer</w:t>
              </w:r>
            </w:hyperlink>
          </w:p>
        </w:tc>
        <w:tc>
          <w:tcPr>
            <w:tcW w:w="6820" w:type="dxa"/>
            <w:vAlign w:val="bottom"/>
            <w:gridSpan w:val="2"/>
          </w:tcPr>
          <w:p>
            <w:pPr>
              <w:jc w:val="center"/>
              <w:ind w:left="641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8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 to be Registered</w:t>
            </w:r>
          </w:p>
        </w:tc>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200" w:type="dxa"/>
            <w:vAlign w:val="bottom"/>
          </w:tcPr>
          <w:p>
            <w:pPr>
              <w:ind w:left="36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Debt Securities</w:t>
              </w:r>
            </w:hyperlink>
          </w:p>
        </w:tc>
        <w:tc>
          <w:tcPr>
            <w:tcW w:w="6820" w:type="dxa"/>
            <w:vAlign w:val="bottom"/>
            <w:gridSpan w:val="2"/>
          </w:tcPr>
          <w:p>
            <w:pPr>
              <w:jc w:val="center"/>
              <w:ind w:left="641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83"/>
        </w:trPr>
        <w:tc>
          <w:tcPr>
            <w:tcW w:w="4200" w:type="dxa"/>
            <w:vAlign w:val="bottom"/>
          </w:tcPr>
          <w:p>
            <w:pPr>
              <w:ind w:left="36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Description of Capital Stock</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83"/>
        </w:trPr>
        <w:tc>
          <w:tcPr>
            <w:tcW w:w="4200" w:type="dxa"/>
            <w:vAlign w:val="bottom"/>
          </w:tcPr>
          <w:p>
            <w:pPr>
              <w:ind w:left="36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Description of Warrants</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83"/>
        </w:trPr>
        <w:tc>
          <w:tcPr>
            <w:tcW w:w="4200" w:type="dxa"/>
            <w:vAlign w:val="bottom"/>
          </w:tcPr>
          <w:p>
            <w:pPr>
              <w:ind w:left="36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Description of Units</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Plan of Distribution</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8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Named Experts and Counsel</w:t>
            </w:r>
          </w:p>
        </w:tc>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tcPr>
          <w:p>
            <w:pPr>
              <w:ind w:left="36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Legal Matters</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83"/>
        </w:trPr>
        <w:tc>
          <w:tcPr>
            <w:tcW w:w="4200" w:type="dxa"/>
            <w:vAlign w:val="bottom"/>
          </w:tcPr>
          <w:p>
            <w:pPr>
              <w:ind w:left="36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Experts</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Incorporation of Certain Information by Reference</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83"/>
        </w:trPr>
        <w:tc>
          <w:tcPr>
            <w:tcW w:w="420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Where You Can Find More Information</w:t>
              </w:r>
            </w:hyperlink>
          </w:p>
        </w:tc>
        <w:tc>
          <w:tcPr>
            <w:tcW w:w="6820" w:type="dxa"/>
            <w:vAlign w:val="bottom"/>
            <w:gridSpan w:val="2"/>
          </w:tcPr>
          <w:p>
            <w:pPr>
              <w:jc w:val="center"/>
              <w:ind w:left="643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or the SEC, using a “shelf” registration process. Under this shelf process, we may, from time to time, sell any combination of the securities described in this prospectus in one or more offerings up to a total amount of $200,000,000.</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 This prospectus, together with any accompanying prospectus supplement,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 “Where You Can Find More Information” beginning on page 24 of this prospectus.</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If anyone provides you with different, additional or inconsistent information, you should not rely on it. We do not take responsibility for, and can provide no assurance as to the reliability of, any other information that others may give you.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prospectus supplement and any related free writing prospectus, as well as the documents incorporated by reference into this prospectus, any prospectus supplement, or any related free writing prospectus, before making an investment decision. Neither the delivery of this prospectus, any prospectus supplement, or any free writing prospectus nor any sale made hereunder shall under any circumstances imply that the information contained or incorporated by reference herein or in any prospectus supplement or free writing prospectus is correct as of any date subsequent to the date hereof or of such prospectus supplement or free writing prospectus, as applicable. You should assume that the information appearing in this prospectus, any prospectus supplement, or any document incorporated by reference is accurate only as of their respective dates, regardless of the time of delivery of this prospectus, any applicable prospectus supplement or any sale of securities. Our business, financial condition, results of operations, and prospects may have changed materially since those dates.</w:t>
      </w:r>
    </w:p>
    <w:p>
      <w:pPr>
        <w:spacing w:after="0" w:line="19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requires otherwise, the terms “AquaBounty Technologies,” “AquaBounty,” “the Company,” “we,” “us,” and “our company” mean AquaBounty Technologies, Inc. and its consolidated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This prospectus, each prospectus supplement and the information incorporated by reference in this prospectus and each prospectus supplement contain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financial or operating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“continue,” “could,” “intends,” “target,” “projects,” “contemplates,”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our results. Factors that may cause actual results to differ materially from current expectations include, among other things, those listed in the section entitled “Risk Factors” in our Annual Report on Form 10-K for the fiscal year ended December 31, 2019, and our subsequent Quarterly Reports on Form 10-Q, as well as any amendments thereto reflected in subsequent filings with the SEC, and under the heading “Risk Factors”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herein and have filed as exhibits to the registration statement, of which this prospectus is part, completely and with the understanding that our actual future results may be materially different from any future results expressed or implied by these forward-looking statements.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forward-looking statements in this prospectus and in the documents that we reference herein include statements about:</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characteristics of our AquAdvantage Salmon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likelihood of achieving the business plan, future revenue, and operating results;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(including without limitation, projected costs, locations and third-party involvement) and the timing of the development of new farms and the output of those farms;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research projects;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successfully enter new markets or develop additional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developments and projections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anticipated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 and ability to raise additional capital to finance our activities;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coronavirus outbreak (the “COVID-19 pandemic”) on our business, operations and financial results, any of which could be significantly impaired by the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proprietary rights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our ability to adapt to changes in laws or regulations and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any necessary regulatory approvals to commercialize any products;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products developed through the application of bioengineering, including bioengineered fish;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of our future acquisitions or investments;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(the “JOBS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referenced under “Risk Factors” below and in any applicable prospectus supplement and any documents incorporated by reference herein and therein.</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Forward-looking statements contained in this prospectus or in the documents that we reference herein represent our views only as of the respective dates on which such statements were made. We anticipate that subsequent events and developments may cause our views to change. However, while we may elect to update these forward-looking statements at some point in the future, we have no current intention of doing so except to the extent required by applicable law. Therefore, these forward-looking statements do not represent our views as of any date other than the date on which they were made.</w:t>
      </w:r>
    </w:p>
    <w:p>
      <w:pPr>
        <w:sectPr>
          <w:pgSz w:w="11900" w:h="16838" w:orient="portrait"/>
          <w:cols w:equalWidth="0" w:num="1">
            <w:col w:w="11100"/>
          </w:cols>
          <w:pgMar w:left="320" w:top="455" w:right="47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00"/>
          </w:cols>
          <w:pgMar w:left="320" w:top="455" w:right="47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906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9065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This summary does not contain all the information that you should consider before investing in our securities. You should read the entire prospectus and any applicable prospectus supplement carefully, including the “Risk Factors” contained in this prospectus, any applicable prospectus supplement, and the documents incorporated by reference herein and therein and the financial statements incorporated by reference in this prospectus supplement and the accompanying prospectus,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AquaBounty is a leader in the field of land-based aquaculture and the use of technology for improving its productivity and sustainability. Our objective is to ensure the availability of high-quality seafood to meet global consumer demand, while addressing critical production constraints in the most popular farmed species.</w:t>
      </w:r>
    </w:p>
    <w:p>
      <w:pPr>
        <w:spacing w:after="0" w:line="176"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On November 19, 2015, we received approval from the FDA of our New Animal Drug Application (“NADA”) for the production, sale, and consumption in the United States of AquAdvantage Salmon, which grows to harvest size faster than conventional Atlantic salmon. This was followed on May 19, 2016, by the approval from Health Canada for the production, sale, and consumption of AquAdvantage Salmon in Canada. Consequently, we have received approvals for our product from what we believe are two of the most respected and rigorous regulatory agencies in the world.</w:t>
      </w:r>
    </w:p>
    <w:p>
      <w:pPr>
        <w:spacing w:after="0" w:line="183" w:lineRule="exact"/>
        <w:rPr>
          <w:sz w:val="20"/>
          <w:szCs w:val="20"/>
          <w:color w:val="auto"/>
        </w:rPr>
      </w:pPr>
    </w:p>
    <w:p>
      <w:pPr>
        <w:ind w:left="300" w:right="140"/>
        <w:spacing w:after="0" w:line="281" w:lineRule="auto"/>
        <w:rPr>
          <w:sz w:val="20"/>
          <w:szCs w:val="20"/>
          <w:color w:val="auto"/>
        </w:rPr>
      </w:pPr>
      <w:r>
        <w:rPr>
          <w:rFonts w:ascii="Times New Roman" w:cs="Times New Roman" w:eastAsia="Times New Roman" w:hAnsi="Times New Roman"/>
          <w:sz w:val="17"/>
          <w:szCs w:val="17"/>
          <w:color w:val="auto"/>
        </w:rPr>
        <w:t>We farm AquAdvantage Salmon in land-based, recirculating aquaculture systems (“RAS”), which allows inland fish farms to be established close to major demand centers in a profitable and environmentally sustainable manner. Our years of experience growing Atlantic salmon in land-based farms, coupled with the economic advantage of our faster-growing AquAdvantage Salmon, offers the opportunity to energize salmon aquaculture in the United States, which imported more than $3.4 billion of Atlantic salmon in 2018 according to the U.S. Department of Commerce (“DOC”).</w:t>
      </w:r>
    </w:p>
    <w:p>
      <w:pPr>
        <w:spacing w:after="0" w:line="164"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 2017, we purchased an existing land-based aquaculture facility in Indiana as our first farm in the United States. We currently are growing both conventional Atlantic salmon and AquAdvantage Salmon at the farm, with our first harvests of conventional Atlantic salmon having commenced in the second quarter of 2020 and our first harvests of AquAdvantage Salmon expected in the first quarter of 2021. Our future plans include construction of four to five new farms in North America at sites close to consumer consumption over the next several years. Additionally, we are pursuing regulatory approval for AquAdvantage Salmon in Argentina, Brazil, China, and Israel.</w:t>
      </w:r>
    </w:p>
    <w:p>
      <w:pPr>
        <w:spacing w:after="0" w:line="183"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We have incurred significant losses since our inception. We expect to continue to incur significant losses for the foreseeable future, and we may never achieve or maintain profitability. For the fiscal years ended December 31, 2019, 2018, and 2017, we experienced net losses of $13.2 million, $10.4 million, and $9.3 million, respectively.</w:t>
      </w:r>
    </w:p>
    <w:p>
      <w:pPr>
        <w:spacing w:after="0" w:line="176"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We were formed under the laws of the State of Delaware on December 17, 1991. Our principal executive offices are located at 2 Mill &amp; Main Place, Suite 395, Maynard, Massachusetts 01754. Our telephone number is (978) 648-6000. On January 19, 2017, our common stock began trading on The Nasdaq Capital Market under the symbol “AQB.”</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SARS-CoV-2, as a pandemic, which continues to spread throughout the United States and worldwide. Because infections of this virus and incidences of the disease it causes, COVID-19, have been reported throughout both the United States and Canada, certain national, provincial, state, and local governmental authorities have issued proclamations and directives aimed at minimizing the spread of the virus. Additional, more restrictive proclamations and directives may be issued in the future.</w:t>
      </w:r>
    </w:p>
    <w:p>
      <w:pPr>
        <w:spacing w:after="0" w:line="183"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The ultimate impact of the COVID-19 pandemic on our operations is unknown and will depend on future developments, which are highly uncertain and cannot be predicted with confidence, including the duration of the COVID-19 pandemic, new information which may emerge concerning the severity of the COVID-19 pandemic, and any additional preventative and protective actions that governments, or we, may direct, which may result in an extended period of continued business disruption and reduced operations. Our current preventative and protective measures include, but are not limited to, segregating farm workers to specific locations, rotating shifts, and monitoring worker temperatures upon arrival at our facilities. To the extent possible, work-from-home is utilized for employees that do not have fish care responsibilities. To date, our farm operations have not been adversely affected by the pandemic, although we have made modifications to biosecurity procedures and our farm sites to adapt to local requirements and to provide a safe work environment.</w:t>
      </w:r>
    </w:p>
    <w:p>
      <w:pPr>
        <w:spacing w:after="0" w:line="192" w:lineRule="exact"/>
        <w:rPr>
          <w:sz w:val="20"/>
          <w:szCs w:val="20"/>
          <w:color w:val="auto"/>
        </w:rPr>
      </w:pPr>
    </w:p>
    <w:p>
      <w:pPr>
        <w:ind w:left="300" w:right="140"/>
        <w:spacing w:after="0" w:line="254" w:lineRule="auto"/>
        <w:rPr>
          <w:sz w:val="20"/>
          <w:szCs w:val="20"/>
          <w:color w:val="auto"/>
        </w:rPr>
      </w:pPr>
      <w:r>
        <w:rPr>
          <w:rFonts w:ascii="Times New Roman" w:cs="Times New Roman" w:eastAsia="Times New Roman" w:hAnsi="Times New Roman"/>
          <w:sz w:val="18"/>
          <w:szCs w:val="18"/>
          <w:color w:val="auto"/>
        </w:rPr>
        <w:t>We have experienced delays in capital projects due to the pandemic, including a delay in the completion of the processing facility at the Indiana farm. The project was completed in November 2020 and we utilized third party alternatives for fish processing during the interim. We have also seen a reduction in both the demand and market price for Atlantic salmon due to the impact of the pandemic in the food service channel in the industry, specifically on restaurants. This has impacted our scheduled harvests, thus reducing our expected revenue and increasing our inventory biomass. We expect that these conditions will continue through the first half of 2021, as the industry waits for the roll-out of a COVID-19 vaccine and the subsequent reopening of the food service channel. The Company is currently exploring options to potentially reduce its excess inventory through donation of fish to local food charities who have experienced unprecedented demand to feed families that have been impacted by the economic downturn in many markets across the U.S. due to the pandemic.</w:t>
      </w:r>
    </w:p>
    <w:p>
      <w:pPr>
        <w:sectPr>
          <w:pgSz w:w="11900" w:h="16838" w:orient="portrait"/>
          <w:cols w:equalWidth="0" w:num="1">
            <w:col w:w="10940"/>
          </w:cols>
          <w:pgMar w:left="320" w:top="455" w:right="639" w:bottom="4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40"/>
          </w:cols>
          <w:pgMar w:left="320" w:top="455" w:right="639" w:bottom="457"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58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1658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 December 2020, we selected InnovaSea as the Recirculating Aquaculture Systems (“RAS”) technology provider for our planned 10,000 metric ton farm (“Farm 3”), which we estimate will require capital expenditures of between $140 to $175 million to complete. We also communicated that though we had initially identified Mayfield, Kentucky as our leading site for Farm 3, that our subsequent diligence indicated that an alternative site may be superior. Our selection process has allowed us to pursue additional sites in the Midwest as we seek an optimal location for our farm. We continue to expect construction to begin in 2021 and anticipate that the farm will be ready to commence commercial production in 2023.</w:t>
      </w:r>
    </w:p>
    <w:p>
      <w:pPr>
        <w:spacing w:after="0" w:line="183"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We remain focused on maintaining a strong balance sheet, liquidity, and financial flexibility and continue to monitor developments as we deal with the disruptions and uncertainties from a business and financial perspective relating to the COVID-19 pandemic. Management expects that all of its operations, across all of its geographies, will be impacted to some degree, but the significance of the impact of the COVID-19 pandemic on our business and the duration for which it may have an impact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in the section titled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in our Annual Report on Form 10-K for the fiscal year ended December 31, 2019, and “Part II—Item 1A—Risk Factors” in our Quarterly Reports on Form 10-Q, all of which are incorporated herein by reference, as they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use the net proceeds from the sale of securities by us offered by this prospectus for general corporate purposes, which may include capital expenditures (including development of existing and new farms), working capital, and other corporate expenses. The timing and amount of our actual expenditures will be based on many factors, including cash flows from operations and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320" w:top="455" w:right="5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may offer under this prospectus shares of our common stock and preferred stock, various series of debt securities, warrants to purchase any of such securities and units comprised of one or more of the other securities that may be offered under this prospectus, either individually or in combination with other securities, with a total value of up to $200,000,000 from time to time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if any.</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restated certificate of incorporation, amended and restated by-laws, as amended, and the other documents referred to in the descriptions, all of which are or will be publicly filed with the SEC, as applicable. See “Where You Can Find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indentures:</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ectPr>
          <w:pgSz w:w="11900" w:h="16838" w:orient="portrait"/>
          <w:cols w:equalWidth="0" w:num="1">
            <w:col w:w="11120"/>
          </w:cols>
          <w:pgMar w:left="320" w:top="455" w:right="45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20"/>
          </w:cols>
          <w:pgMar w:left="320" w:top="455" w:right="45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67" w:lineRule="exact"/>
        <w:rPr>
          <w:sz w:val="20"/>
          <w:szCs w:val="20"/>
          <w:color w:val="auto"/>
        </w:rPr>
      </w:pPr>
    </w:p>
    <w:p>
      <w:pPr>
        <w:ind w:left="1080" w:right="40" w:hanging="424"/>
        <w:spacing w:after="0" w:line="25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67" w:lineRule="exact"/>
        <w:rPr>
          <w:sz w:val="20"/>
          <w:szCs w:val="20"/>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7" w:lineRule="exact"/>
        <w:rPr>
          <w:sz w:val="20"/>
          <w:szCs w:val="20"/>
          <w:color w:val="auto"/>
        </w:rPr>
      </w:pPr>
    </w:p>
    <w:p>
      <w:pPr>
        <w:ind w:left="1080" w:right="1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ectPr>
          <w:pgSz w:w="11900" w:h="16838" w:orient="portrait"/>
          <w:cols w:equalWidth="0" w:num="1">
            <w:col w:w="11120"/>
          </w:cols>
          <w:pgMar w:left="320" w:top="455"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88"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or the Trust Indenture Act; or</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applicable indenture to this “—Description of Debt Securities” or any other similarly titled section in any prospectus supplement or other offering document relating to a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67" w:lineRule="exact"/>
        <w:rPr>
          <w:sz w:val="20"/>
          <w:szCs w:val="20"/>
          <w:color w:val="auto"/>
        </w:rPr>
      </w:pPr>
    </w:p>
    <w:p>
      <w:pPr>
        <w:ind w:left="1080" w:right="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w:t>
      </w:r>
    </w:p>
    <w:p>
      <w:pPr>
        <w:sectPr>
          <w:pgSz w:w="11900" w:h="16838" w:orient="portrait"/>
          <w:cols w:equalWidth="0" w:num="1">
            <w:col w:w="11100"/>
          </w:cols>
          <w:pgMar w:left="320" w:top="455" w:right="479" w:bottom="1440" w:gutter="0" w:footer="0" w:header="0"/>
        </w:sectPr>
      </w:pP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66" w:lineRule="auto"/>
        <w:rPr>
          <w:sz w:val="20"/>
          <w:szCs w:val="20"/>
          <w:color w:val="auto"/>
        </w:rPr>
      </w:pPr>
      <w:r>
        <w:rPr>
          <w:rFonts w:ascii="Times New Roman" w:cs="Times New Roman" w:eastAsia="Times New Roman" w:hAnsi="Times New Roman"/>
          <w:sz w:val="18"/>
          <w:szCs w:val="18"/>
          <w:color w:val="auto"/>
        </w:rPr>
        <w:t>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We adopted our Charter in connection with the registration of our common stock on the Nasdaq stock market, and this description summarizes the provisions included in such document, as well as those contained in our Amended and Restated Bylaws (our “Bylaws”). Because it is only a summary, it does not contain all the information that may be important to you. For a complete description of the matters set forth in this “Description of Capital Stock,” you should refer to our Charter and Bylaws, which have been filed with the SEC and are incorporated by reference into the registration statement of which this prospectus is a part, and to the applicable provisions of Delaware law. Our authorized capital stock consists of 80,000,000 shares of common stock, $0.001 par value per share, and 5,000,000 shares of preferred stock, $0.01 par value per share.</w:t>
      </w:r>
    </w:p>
    <w:p>
      <w:pPr>
        <w:spacing w:after="0" w:line="18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As of December 31, 2020, there were 55,497,133 shares of our common stock outstanding, held by 323 stockholders of record, and no shares of our preferred stock outstanding. Included in the outstanding shares of our common stock are 72,653 shares of restricted stock that are subject to vesting requirements. Our board of directors is authorized, without stockholder approval except as required by the listing standards of The Nasdaq Capital Market, to issue additional shares of our capital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60"/>
        <w:spacing w:after="0" w:line="276"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shareholders. A majority of the votes cast at a meeting of the shareholders by the holders of shares entitled to vote is required for any action by the shareholders except</w:t>
      </w:r>
    </w:p>
    <w:p>
      <w:pPr>
        <w:spacing w:after="0" w:line="1" w:lineRule="exact"/>
        <w:rPr>
          <w:sz w:val="20"/>
          <w:szCs w:val="20"/>
          <w:color w:val="auto"/>
        </w:rPr>
      </w:pPr>
    </w:p>
    <w:p>
      <w:pPr>
        <w:ind w:left="120" w:right="40" w:hanging="4"/>
        <w:spacing w:after="0" w:line="260" w:lineRule="auto"/>
        <w:tabs>
          <w:tab w:leader="none" w:pos="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provided by law or the Third Amended and Restated Certificate of Incorporation and (b) that directors are to be elected by a plurality of the votes cast at elections. Holders of shares of our common stock do not have cumulative voting rights in the election of directors.</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provides that all stockholder actions are required to be taken by a vote of the stockholders at an annual or special meeting; that stockholders may not take any action by written consent in lieu of a meeting; that only the chairman of our Board of Directors, our chief executive officer, or a majority of the authorized number of directors may call special meetings of stockholders; and that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 Preemptive or Similar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Fully Paid and Non-Assessable</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All of the outstanding shares of our common stock are, and the shares of our common stock to be issued by us pursuant to this offering will be,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Our Board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fix the rights, preferences, and privileges of the preferred stock of each such series, as well as any qualifications, limitations, or restrictions thereon,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85"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The General Corporation Law of the State of Delaware, the state of our incorporation, provides that the holders of preferred stock will have the right to vote separately as a class (or, in some cases, as a series) on an amendment to our Charter if the amendment would change the par value; the number of authorized shares of the class; or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Additionally, the issuance of preferred stock may have the effect of decreasing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2020, we had warrants outstanding and exercisable for 948,855 shares of our common stock (the “Outstanding Warrants”). Below is a summary of the Outstanding Warrants. The offering and sale of the Outstanding Warrants, and the shares of common stock underlying the Outstanding Warrants, were registered under our Registration Statement on Form S-1 (File No. 333-221435), filed with the SEC on November 8, 2017 and declared effective on January 12, 2018 (the “Prior Registration Statement”).</w:t>
      </w:r>
    </w:p>
    <w:p>
      <w:pPr>
        <w:spacing w:after="0" w:line="180"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material terms and provisions of the Outstanding Warrants are summarized below. The following description is subject to, and qualified in its entirety by, the form of Common Stock Purchase Warrant, which was filed as an exhibit to Amendment No. 2 to the Prior Registration Statement on January 9, 2018. You should review a copy of the form of Common Stock Purchase Warrant for a complete description of the terms and conditions applicable to the Outstanding Warrants.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Outstanding Warrants are exercisable upon issuance and for five years from the date of issuance but not thereafter.</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exercise price of the Outstanding Warrants is $3.25 per share. The exercise price and number of shares of our common stock issuable upon the exercise of the Outstanding Warrants are subject to adjustment in the event of any stock dividend, stock split, reverse stock split, recapitalization, reorganization, or similar transaction. The exercise price can also be lowered by us for any period of time, with the prior written consent of the holders of a majority in interest of the Outstanding Warrants then outstanding, unless prohibited by the listing rules of the exchange on which our common stock is listed.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Outstanding Warrants are immediately exercisable upon issuance and are exercisable at any time during the term of the Outstanding Warrants. The Outstanding Warrants are exercisable, at the option of each holder, in whole or in part, by delivering to us a duly executed exercise notice accompanied by payment in full for the number of shares of our common stock purchased upon such exercise.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 Fractional Shares</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No fractional shares or scrip representing fractional shares shall be issued upon the exercise of any of the Outstanding Warrants. As to any fraction of a share that the holder would otherwise be entitled to purchase upon such exercise, we shall, at our election, either pay a cash adjustment in respect of such final fraction in an amount equal to such fraction multiplied by the exercise price of the Outstanding Warrants or round up to the next whole share.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Subject to applicable laws, any Outstanding Warrant may be transferred at the option of the holder thereof upon surrender of that Outstanding Warrant to us, together with the appropriate instruments of transfer, provided that we may require an opinion of counsel in connection with certain transfers.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During the period the Outstanding Warrants are outstanding, we will reserve from our authorized and unissued common stock a sufficient number of shares to provide for the issuance of shares of common stock underlying the Outstanding Warrants upon the exercise of the Outstanding Warrants.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Outstanding Warrants, which include, generally, any merger with or into another entity, sale of all or substantially all of our assets, tender offer or exchange offer, or reclassification of our common stock, then, upon any subsequent exercise of a Outstanding Warrant, the holder shall have the right to receive as alternative consideration, for each share of our common stock that would have been issuable upon such exercise immediately prior to the occurrence of such fundamental transaction, the number of shares of common stock of the successor or acquiring corporation or of us, if we are the surviving corporation, and any additional consideration receivable upon or as a result of such transaction by a holder of the number of shares of our common stock for which the Outstanding Warrant is exercisable immediately prior to such event. Any successor to us or surviving entity is obligated to assume the obligations under the Outstanding Warrants. In the event of certain fundamental transactions, the Company shall, at each Outstanding Warrant holder’s option, purchase such holder’s Outstanding Warrant by paying an amount in cash equal to the Black Scholes value of the remaining unexercised portion of such Outstanding Warrant.</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Right as a Stockholder</w:t>
      </w:r>
    </w:p>
    <w:p>
      <w:pPr>
        <w:spacing w:after="0" w:line="121"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Outstanding Warrants or by virtue of a holder’s ownership of shares of our common stock, the holders of the Outstanding Warrants do not have the rights or privileges of holders of our common stock, including any voting rights, until they exercise their Outstanding Warrants.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Waiver and Amendments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terms of any Outstanding Warrant, other than a lowering of the exercise price as described above, may be amended or waived with our written consent and the written consent of the holder of such Outstanding Warrant.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Beneficial Ownership Limitation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Subject to limited exceptions, a holder of an Outstanding Warrant will not have the right to exercise any portion thereof if the holder (together with such holder’s affiliates, and any persons acting as a group together with such holder or any of such holder’s affiliates) would beneficially own a number of shares of our common stock in excess of 4.99% (or, at the election of the holder, 9.99%) of the shares of our common stock then outstanding immediately after giving effect to such exercise (the “Beneficial Ownership</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Limitation”); provided, however, that upon notice to us, the holder may increase or decrease the Beneficial Ownership Limitation; and, provided further, that in no event shall the Beneficial Ownership Limitation exceed 9.99% and in no event shall any increase in the Beneficial Ownership Limitation be effective until 61 days following notice of such increase from the holder to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rights with regard to registration under the Securities Act of 1933 of our common stock or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Charter,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 and Amended and Restated Bylaws Provisions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Our Charter and our Bylaws include a number of provisions that could deter hostile takeovers or delay or prevent changes in control of our board of directors or management team, including the following:</w:t>
      </w:r>
    </w:p>
    <w:p>
      <w:pPr>
        <w:spacing w:after="0" w:line="65" w:lineRule="exact"/>
        <w:rPr>
          <w:sz w:val="20"/>
          <w:szCs w:val="20"/>
          <w:color w:val="auto"/>
        </w:rPr>
      </w:pPr>
    </w:p>
    <w:p>
      <w:pPr>
        <w:ind w:left="1080" w:right="4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Charter and Bylaws authorize only our board of directors to fill vacant directorships, including newly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Charter provides that our stockholders may not take action by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Our Bylaws further provide that special meetings of our stockholders may be called only by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8"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Bylaws provide advance notice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8" w:lineRule="exact"/>
        <w:rPr>
          <w:rFonts w:ascii="Times New Roman" w:cs="Times New Roman" w:eastAsia="Times New Roman" w:hAnsi="Times New Roman"/>
          <w:sz w:val="18"/>
          <w:szCs w:val="18"/>
          <w:color w:val="auto"/>
        </w:rPr>
      </w:pPr>
    </w:p>
    <w:p>
      <w:pPr>
        <w:ind w:left="1080" w:right="20" w:hanging="424"/>
        <w:spacing w:after="0" w:line="315"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Cumulative Voting</w:t>
      </w:r>
      <w:r>
        <w:rPr>
          <w:rFonts w:ascii="Times New Roman" w:cs="Times New Roman" w:eastAsia="Times New Roman" w:hAnsi="Times New Roman"/>
          <w:sz w:val="17"/>
          <w:szCs w:val="17"/>
          <w:color w:val="auto"/>
        </w:rPr>
        <w:t>. The Delaware General Corporation Law provides that stockholders are not entitled to cumulate votes in the election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directors unless a corporation’s certificate of incorporation provides otherwise. Our Charter does not provide for cumulative voting.</w:t>
      </w:r>
    </w:p>
    <w:p>
      <w:pPr>
        <w:spacing w:after="0" w:line="40" w:lineRule="exact"/>
        <w:rPr>
          <w:rFonts w:ascii="Times New Roman" w:cs="Times New Roman" w:eastAsia="Times New Roman" w:hAnsi="Times New Roman"/>
          <w:sz w:val="17"/>
          <w:szCs w:val="17"/>
          <w:color w:val="auto"/>
        </w:rPr>
      </w:pPr>
    </w:p>
    <w:p>
      <w:pPr>
        <w:ind w:left="1080" w:right="80" w:hanging="424"/>
        <w:spacing w:after="0" w:line="267"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stockholders may remove directors for cause only by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the outstanding voting stock and without cause only by affirmative vote of two-thirds of the voting power of our then-outstanding voting stock.</w:t>
      </w:r>
    </w:p>
    <w:p>
      <w:pPr>
        <w:spacing w:after="0" w:line="78"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Charter or Bylaw Provisions</w:t>
      </w:r>
      <w:r>
        <w:rPr>
          <w:rFonts w:ascii="Times New Roman" w:cs="Times New Roman" w:eastAsia="Times New Roman" w:hAnsi="Times New Roman"/>
          <w:sz w:val="18"/>
          <w:szCs w:val="18"/>
          <w:color w:val="auto"/>
        </w:rPr>
        <w:t>. Any amendment of the above provisions in our Charter or Bylaws would require approval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at least two-thirds of the voting power of our then-outstanding voting stock.</w:t>
      </w:r>
    </w:p>
    <w:p>
      <w:pPr>
        <w:sectPr>
          <w:pgSz w:w="11900" w:h="16838" w:orient="portrait"/>
          <w:cols w:equalWidth="0" w:num="1">
            <w:col w:w="11140"/>
          </w:cols>
          <w:pgMar w:left="320" w:top="455" w:right="439" w:bottom="1440" w:gutter="0" w:footer="0" w:header="0"/>
        </w:sectPr>
      </w:pP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hanging="424"/>
        <w:spacing w:after="0" w:line="281"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Issuance of Undesignated Preferred Stock</w:t>
      </w:r>
      <w:r>
        <w:rPr>
          <w:rFonts w:ascii="Times New Roman" w:cs="Times New Roman" w:eastAsia="Times New Roman" w:hAnsi="Times New Roman"/>
          <w:sz w:val="17"/>
          <w:szCs w:val="17"/>
          <w:color w:val="auto"/>
        </w:rPr>
        <w:t>. Our board of directors has the authority, without further action by the stockholders, to issue 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“AQB.”</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preferred stock, common stock, or any combination thereof. Warrants may be issued independently or together with our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may be purchased upon exercise of a warrant and the exercise price for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as stockholders.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classes of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units may be issued under unit agreements to be entered into between us and a unit agent, as detailed in the prospectus supplement relating to the units being offered. The prospectus supplement will describe:</w:t>
      </w:r>
    </w:p>
    <w:p>
      <w:pPr>
        <w:spacing w:after="0" w:line="85" w:lineRule="exact"/>
        <w:rPr>
          <w:sz w:val="20"/>
          <w:szCs w:val="20"/>
          <w:color w:val="auto"/>
        </w:rPr>
      </w:pPr>
    </w:p>
    <w:p>
      <w:pPr>
        <w:ind w:left="1080" w:right="4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if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if issued as a separate security will be issued in fully registered or global form.</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descriptions of the units in this prospectus and in any prospectus supplement are summaries of the material provisions of the applicable agreements. These descriptions do not restate those agreements in their entirety and may not contain all the information that you may find useful. We urge you to read the applicable agreements because they, and not the summaries, define your rights as holders of the units. For more information, please review the forms of the relevant agreements, which will be filed with the SEC promptly after the offering of units and will be available as described in the section titled “Where You Can Find More Information.”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possible offer and sale by us, from time to time, in one or more series or issuances and on terms that we will determine at the time of the offering, of any combination of the securities described in this prospectus, up to an aggregate amount of $200,000,000.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the securities offered through this prospectus (1) to or through underwriters or dealers, (2) directly to purchasers, including our affiliates,</w:t>
      </w:r>
    </w:p>
    <w:p>
      <w:pPr>
        <w:spacing w:after="0" w:line="27" w:lineRule="exact"/>
        <w:rPr>
          <w:sz w:val="20"/>
          <w:szCs w:val="20"/>
          <w:color w:val="auto"/>
        </w:rPr>
      </w:pPr>
    </w:p>
    <w:p>
      <w:pPr>
        <w:ind w:left="380" w:hanging="264"/>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(4) through a combination of any these methods. We may use any one or more of the following methods when selling shares:</w:t>
      </w:r>
    </w:p>
    <w:p>
      <w:pPr>
        <w:spacing w:after="0" w:line="112"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Capital Market or any other national securities exchange or quotation service on which the securities may be listed or quoted at the time of sale;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such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on a firm commitment or best-efforts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our common stock to a broker-dealer who may sell shares of our common stock so loaned or, upon a default, may sell or otherwise transfer the pledged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securities may be distributed at a fixed price or prices, which may be changed; market prices prevailing at the time of sale; prices related to the prevailing market prices; or negotiated prices. We may also sell equity securities covered by this registration statement in an “at the market offering” as defined in Rule 415 under the Securities Act. Such offering may be made into an existing trading market for such securities in transactions at other than a fixed price, either: on or through the facilities of Nasdaq or any other securities exchange or quotation or trading service on which such securities may be listed, quoted or traded at the time of sale; and/or other than on Nasdaq or such other securities exchanges or quotation or trading services. Such at-the-market offerings, if any, may be conducted by underwriters acting as principal or agent. The prospectus supplement will include, to the extent required, the following information:</w:t>
      </w:r>
    </w:p>
    <w:p>
      <w:pPr>
        <w:spacing w:after="0" w:line="9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 Pursuant to a requirement by the Financial Industry Regulatory Authority, Inc., or FINRA, the maximum commission or discount to be received by any FINRA member or independent broker-dealer may not be greater than 8% of the maximum gross proceeds of the securities that may be sold under this prospectus.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9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Derivative Transactions and Hedging</w:t>
      </w:r>
    </w:p>
    <w:p>
      <w:pPr>
        <w:sectPr>
          <w:pgSz w:w="11900" w:h="16838" w:orient="portrait"/>
          <w:cols w:equalWidth="0" w:num="1">
            <w:col w:w="11100"/>
          </w:cols>
          <w:pgMar w:left="320" w:top="455" w:right="479" w:bottom="1440" w:gutter="0" w:footer="0" w:header="0"/>
        </w:sectPr>
      </w:pP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Auctions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spacing w:after="0" w:line="183"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Goodwin Procter LLP, Boston, Massachusetts, will pass upon the validity of the securities being offered by this prospectus. Any underwriters will also be advised about the validity of the securities and other legal matters by their own counsel, which will be named in the prospectus supplement.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 incorporated in this prospectus by reference from the Company’s Annual Reports on Form 10-K for the years ended December 31, 2019 and 2018, have been audited by Wolf &amp; Company, P.C.,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which means that we can disclose important information to you by referring you to those documents instead of having to repeat the information in this prospectus. The information incorporated by reference is an important part of this prospectus. To the extent that any statement that we make in this prospectus is inconsistent with the statements made in the applicable prospectus supplement or the information incorporated by reference, the statements made in this prospectus are deemed modified or superseded by the statements made in such prospectus supplement, while information that we file later with the SEC will automatically update and supersede this information. We incorporate by reference into this prospectus the documents listed below and any future filings we will make with the SEC under Sections 13(a), 13(c), 14, or 15(d) of the Exchange Act after the date of this prospectus but prior to the termination of the offering of the securities covered by the applicable prospectus supplement (other than information deemed furnished pursuant to Items 2.02 and 7.01 of Form 8-K). The documents we are incorporating by reference are:</w:t>
      </w:r>
    </w:p>
    <w:p>
      <w:pPr>
        <w:spacing w:after="0" w:line="94" w:lineRule="exact"/>
        <w:rPr>
          <w:sz w:val="20"/>
          <w:szCs w:val="20"/>
          <w:color w:val="auto"/>
        </w:rPr>
      </w:pPr>
    </w:p>
    <w:p>
      <w:pPr>
        <w:ind w:left="1080" w:right="120" w:hanging="424"/>
        <w:spacing w:after="0" w:line="266" w:lineRule="auto"/>
        <w:tabs>
          <w:tab w:leader="none" w:pos="1080" w:val="left"/>
        </w:tabs>
        <w:numPr>
          <w:ilvl w:val="0"/>
          <w:numId w:val="24"/>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for the fiscal year ended December 31, 2019, filed with the SEC on March 10, 2020, and our </w:t>
        </w:r>
        <w:r>
          <w:rPr>
            <w:rFonts w:ascii="Times New Roman" w:cs="Times New Roman" w:eastAsia="Times New Roman" w:hAnsi="Times New Roman"/>
            <w:sz w:val="18"/>
            <w:szCs w:val="18"/>
            <w:u w:val="single" w:color="auto"/>
            <w:color w:val="0000EE"/>
          </w:rPr>
          <w:t>definitive</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Schedule 14A (with respect to those portions specifically incorporated by reference into our Annual Report on Form</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10-K for the fiscal year ended December 31, 2019), which was filed with the SEC on March 19, 2020;</w:t>
      </w:r>
    </w:p>
    <w:p>
      <w:pPr>
        <w:spacing w:after="0" w:line="81" w:lineRule="exact"/>
        <w:rPr>
          <w:rFonts w:ascii="Times New Roman" w:cs="Times New Roman" w:eastAsia="Times New Roman" w:hAnsi="Times New Roman"/>
          <w:sz w:val="18"/>
          <w:szCs w:val="18"/>
          <w:color w:val="0000EE"/>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2020, filed with the SEC on </w:t>
      </w:r>
      <w:hyperlink r:id="rId52">
        <w:r>
          <w:rPr>
            <w:rFonts w:ascii="Times New Roman" w:cs="Times New Roman" w:eastAsia="Times New Roman" w:hAnsi="Times New Roman"/>
            <w:sz w:val="18"/>
            <w:szCs w:val="18"/>
            <w:u w:val="single" w:color="auto"/>
            <w:color w:val="0000EE"/>
          </w:rPr>
          <w:t>May 5, 2020</w:t>
        </w:r>
      </w:hyperlink>
      <w:r>
        <w:rPr>
          <w:rFonts w:ascii="Times New Roman" w:cs="Times New Roman" w:eastAsia="Times New Roman" w:hAnsi="Times New Roman"/>
          <w:sz w:val="18"/>
          <w:szCs w:val="18"/>
          <w:color w:val="auto"/>
        </w:rPr>
        <w:t xml:space="preserve">, June 30, 2020, filed with the SEC on </w:t>
      </w:r>
      <w:hyperlink r:id="rId53">
        <w:r>
          <w:rPr>
            <w:rFonts w:ascii="Times New Roman" w:cs="Times New Roman" w:eastAsia="Times New Roman" w:hAnsi="Times New Roman"/>
            <w:sz w:val="18"/>
            <w:szCs w:val="18"/>
            <w:u w:val="single" w:color="auto"/>
            <w:color w:val="0000EE"/>
          </w:rPr>
          <w:t>August 6,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September 30, 2020, filed with the SEC on </w:t>
      </w:r>
      <w:hyperlink r:id="rId54">
        <w:r>
          <w:rPr>
            <w:rFonts w:ascii="Times New Roman" w:cs="Times New Roman" w:eastAsia="Times New Roman" w:hAnsi="Times New Roman"/>
            <w:sz w:val="18"/>
            <w:szCs w:val="18"/>
            <w:u w:val="single" w:color="auto"/>
            <w:color w:val="0000EE"/>
          </w:rPr>
          <w:t>November 3, 2020</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5">
        <w:r>
          <w:rPr>
            <w:rFonts w:ascii="Times New Roman" w:cs="Times New Roman" w:eastAsia="Times New Roman" w:hAnsi="Times New Roman"/>
            <w:sz w:val="18"/>
            <w:szCs w:val="18"/>
            <w:u w:val="single" w:color="auto"/>
            <w:color w:val="0000EE"/>
          </w:rPr>
          <w:t>January 27, 2020</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February 11, 2020</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February 12, 2020</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February 13, 2020</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March 10,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5,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6,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10,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20,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3,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19,</w:t>
        </w:r>
      </w:hyperlink>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December 9, 2020</w:t>
        </w:r>
      </w:hyperlink>
      <w:hyperlink r:id="rId5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 xml:space="preserve">December 10, 2020 </w:t>
        </w:r>
      </w:hyperlink>
      <w:hyperlink r:id="rId5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 xml:space="preserve">December 14, 2020 </w:t>
        </w:r>
      </w:hyperlink>
      <w:hyperlink r:id="rId59">
        <w:r>
          <w:rPr>
            <w:rFonts w:ascii="Times New Roman" w:cs="Times New Roman" w:eastAsia="Times New Roman" w:hAnsi="Times New Roman"/>
            <w:sz w:val="18"/>
            <w:szCs w:val="18"/>
            <w:color w:val="000000"/>
          </w:rPr>
          <w:t>(except that, with respect to each of the foregoing Current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portions thereof which are furnished and not filed shall not be deemed incorporated by reference into this prospectus supplement); and</w:t>
      </w:r>
    </w:p>
    <w:p>
      <w:pPr>
        <w:spacing w:after="0" w:line="85" w:lineRule="exact"/>
        <w:rPr>
          <w:rFonts w:ascii="Times New Roman" w:cs="Times New Roman" w:eastAsia="Times New Roman" w:hAnsi="Times New Roman"/>
          <w:sz w:val="18"/>
          <w:szCs w:val="18"/>
          <w:color w:val="0000EE"/>
        </w:rPr>
      </w:pPr>
    </w:p>
    <w:p>
      <w:pPr>
        <w:ind w:left="1080" w:right="1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63">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2019, filed with the SEC on March 10, 2020 (including any further amendment or reports filed with the SEC for the purpose of updating such description).</w:t>
      </w:r>
    </w:p>
    <w:p>
      <w:pPr>
        <w:spacing w:after="0" w:line="176" w:lineRule="exact"/>
        <w:rPr>
          <w:rFonts w:ascii="Times New Roman" w:cs="Times New Roman" w:eastAsia="Times New Roman" w:hAnsi="Times New Roman"/>
          <w:sz w:val="18"/>
          <w:szCs w:val="18"/>
          <w:color w:val="0000EE"/>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Corporate Secretary, AquaBounty Technologies, Inc., 2 Mill &amp; Main Place, Suite 395, Maynard Massachusetts 01754, Telephone: (978)</w:t>
      </w:r>
    </w:p>
    <w:p>
      <w:pPr>
        <w:spacing w:after="0" w:line="3" w:lineRule="exact"/>
        <w:rPr>
          <w:rFonts w:ascii="Times New Roman" w:cs="Times New Roman" w:eastAsia="Times New Roman" w:hAnsi="Times New Roman"/>
          <w:sz w:val="18"/>
          <w:szCs w:val="18"/>
          <w:color w:val="0000EE"/>
        </w:rPr>
      </w:pPr>
    </w:p>
    <w:p>
      <w:pPr>
        <w:ind w:left="120"/>
        <w:spacing w:after="0"/>
        <w:rPr>
          <w:sz w:val="20"/>
          <w:szCs w:val="20"/>
          <w:color w:val="auto"/>
        </w:rPr>
      </w:pPr>
      <w:r>
        <w:rPr>
          <w:rFonts w:ascii="Times New Roman" w:cs="Times New Roman" w:eastAsia="Times New Roman" w:hAnsi="Times New Roman"/>
          <w:sz w:val="18"/>
          <w:szCs w:val="18"/>
          <w:color w:val="auto"/>
        </w:rPr>
        <w:t>648-6000.</w:t>
      </w:r>
    </w:p>
    <w:p>
      <w:pPr>
        <w:spacing w:after="0" w:line="13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www.sec.gov. Our Annual Report on Form 10-K, Quarterly Reports on Form 10-Q, and Current Reports on Form 8-K, including any amendments to those reports, and other information that we file with or furnish to the SEC pursuant to Sections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relating to the offering of these securities. This prospectus omits some information set forth in the registration statement in accordance with SEC rules and regulations. The registration statement, including the attached exhibits, contains additional relevant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above under “Incorporation of Certain Information by Reference” are also available on our Internet website, www.aquabounty.com. We have not incorporated by reference into this prospectus the information on our website, and you should not consider it to be a part of this 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5" w:right="5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344170</wp:posOffset>
            </wp:positionV>
            <wp:extent cx="2751455" cy="685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7514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40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620" w:type="dxa"/>
            <w:vAlign w:val="bottom"/>
          </w:tcPr>
          <w:p>
            <w:pPr>
              <w:jc w:val="right"/>
              <w:ind w:right="3630"/>
              <w:spacing w:after="0"/>
              <w:rPr>
                <w:sz w:val="20"/>
                <w:szCs w:val="20"/>
                <w:color w:val="auto"/>
              </w:rPr>
            </w:pPr>
            <w:r>
              <w:rPr>
                <w:rFonts w:ascii="Times New Roman" w:cs="Times New Roman" w:eastAsia="Times New Roman" w:hAnsi="Times New Roman"/>
                <w:sz w:val="18"/>
                <w:szCs w:val="18"/>
                <w:b w:val="1"/>
                <w:bCs w:val="1"/>
                <w:color w:val="auto"/>
              </w:rPr>
              <w:t>, 2021</w:t>
            </w:r>
          </w:p>
        </w:tc>
      </w:tr>
      <w:tr>
        <w:trPr>
          <w:trHeight w:val="648"/>
        </w:trPr>
        <w:tc>
          <w:tcPr>
            <w:tcW w:w="64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82"/>
        </w:trPr>
        <w:tc>
          <w:tcPr>
            <w:tcW w:w="6400" w:type="dxa"/>
            <w:vAlign w:val="bottom"/>
            <w:tcBorders>
              <w:bottom w:val="single" w:sz="8" w:color="auto"/>
            </w:tcBorders>
          </w:tcPr>
          <w:p>
            <w:pPr>
              <w:spacing w:after="0"/>
              <w:rPr>
                <w:sz w:val="7"/>
                <w:szCs w:val="7"/>
                <w:color w:val="auto"/>
              </w:rPr>
            </w:pPr>
          </w:p>
        </w:tc>
        <w:tc>
          <w:tcPr>
            <w:tcW w:w="4620" w:type="dxa"/>
            <w:vAlign w:val="bottom"/>
            <w:tcBorders>
              <w:bottom w:val="single" w:sz="8" w:color="auto"/>
            </w:tcBorders>
          </w:tcPr>
          <w:p>
            <w:pPr>
              <w:spacing w:after="0"/>
              <w:rPr>
                <w:sz w:val="7"/>
                <w:szCs w:val="7"/>
                <w:color w:val="auto"/>
              </w:rPr>
            </w:pP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 II—Information Not Required in the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the actual registration fee), other than underwriting discounts and commissions, payable by the Registrant in connection with the sale of the securities being registered:</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21,820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100" w:hanging="224"/>
        <w:spacing w:after="0" w:line="27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 or as an exhibit to a filing with the SEC under Sections 13(a), 13(c), or 15(d) of the Securities Exchange Act of 1934, as amended.</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Our Charter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provide that we must advance expenses incurred by or on behalf of a director or officer in advance of the final disposition of any action or proceeding, subject to very limited exceptions.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are included in our Charter and Bylaws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underwriting agreement filed as Exhibit 1.1 to this registration statement may provide for indemnification by the underwriters of the Registrant and its officers and directors for certain liabilities arising under the Securities Act and otherwise.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herein.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5"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exhibits are filed herewith and as part of this registration statement.</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24"/>
                <w:szCs w:val="24"/>
                <w:color w:val="auto"/>
              </w:rPr>
            </w:pPr>
          </w:p>
        </w:tc>
        <w:tc>
          <w:tcPr>
            <w:tcW w:w="990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20" w:type="dxa"/>
            <w:vAlign w:val="bottom"/>
          </w:tcPr>
          <w:p>
            <w:pPr>
              <w:spacing w:after="0"/>
              <w:rPr>
                <w:sz w:val="15"/>
                <w:szCs w:val="15"/>
                <w:color w:val="auto"/>
              </w:rPr>
            </w:pPr>
          </w:p>
        </w:tc>
        <w:tc>
          <w:tcPr>
            <w:tcW w:w="9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Third Amended and Restated Certificate of Incorporation of the Registrant (Exhibit 3.1)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Certificate of Amendment of Third Amended and Restated Certificate of Incorporation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3.3(3)</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Certificate of Amendment of Third Amended and Restated Certificate of Incorporation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3.4(4)</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Certificate of Amendment of Third Amended and Restated Certificate of Incorporation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3.5(1)</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Amended and Restated Bylaws of the Registrant (Exhibit 3.2)</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Form of Common Stock Certificate of the Registrant (Exhibit 4.1)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Form of Senior Indenture between the Registrant and one or more trustees to be named</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Form of Subordinated Indenture between the Registrant and one or more trustees to be named</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 preferences, and rights with respect to any preferred stock issued hereunder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Opinion of Goodwin Procter LLP</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Consent of Wolf &amp; Company, P.C.,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Consent of Goodwin Procter LLP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spacing w:after="0"/>
              <w:rPr>
                <w:sz w:val="24"/>
                <w:szCs w:val="24"/>
                <w:color w:val="auto"/>
              </w:rPr>
            </w:pPr>
          </w:p>
        </w:tc>
        <w:tc>
          <w:tcPr>
            <w:tcW w:w="9900" w:type="dxa"/>
            <w:vAlign w:val="bottom"/>
          </w:tcPr>
          <w:p>
            <w:pPr>
              <w:ind w:left="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Power of Attorney (included on applicable signature pages to this registration statement on Form S-3)</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25.1**</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 of 1939, as amended, of the Trustee under the Senior Indenture</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25.2**</w:t>
            </w:r>
          </w:p>
        </w:tc>
        <w:tc>
          <w:tcPr>
            <w:tcW w:w="6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 of 1939, as amended, of the Trustee under the Subordinated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amendment or as an exhibit to a report pursuant to Section 13(a) or 15(d) of the Securities Exchange Act of 1934, as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amended, and incorporated herein by reference.</w:t>
      </w:r>
    </w:p>
    <w:p>
      <w:pPr>
        <w:spacing w:after="0" w:line="9"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pursuant to Section 305(b)(2) of the Trust Indenture Act of 1939.</w:t>
      </w:r>
    </w:p>
    <w:p>
      <w:pPr>
        <w:spacing w:after="0" w:line="9" w:lineRule="exact"/>
        <w:rPr>
          <w:sz w:val="20"/>
          <w:szCs w:val="20"/>
          <w:color w:val="auto"/>
        </w:rPr>
      </w:pPr>
    </w:p>
    <w:p>
      <w:pPr>
        <w:ind w:left="540" w:right="40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to the Registrant’s Registration Statement on Form 10, as amended, filed on November 7, 2016 (No. 001-36426). The number given in parentheses indicates the corresponding exhibit number in such Form 10.</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Registrant’s Current Report on Form 8-K filed January 6, 2017.</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3.3 to the Registrant’s Registration Statement on Form S-1, as amended, filed on January 15, 2020 (No. 333-235919).</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Registrant’s Current Report on Form 8-K filed November 19, 2020.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40" w:hanging="439"/>
        <w:spacing w:after="0" w:line="25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108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30"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right="20" w:hanging="533"/>
        <w:spacing w:after="0" w:line="253" w:lineRule="auto"/>
        <w:tabs>
          <w:tab w:leader="none" w:pos="20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92" w:lineRule="exact"/>
        <w:rPr>
          <w:rFonts w:ascii="Times New Roman" w:cs="Times New Roman" w:eastAsia="Times New Roman" w:hAnsi="Times New Roman"/>
          <w:sz w:val="18"/>
          <w:szCs w:val="18"/>
          <w:color w:val="auto"/>
        </w:rPr>
      </w:pPr>
    </w:p>
    <w:p>
      <w:pPr>
        <w:ind w:left="1540" w:hanging="439"/>
        <w:spacing w:after="0" w:line="254"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Registrant will be a seller to the purchaser and will be considered to offer and sell such securities to such purchaser:</w:t>
      </w:r>
    </w:p>
    <w:p>
      <w:pPr>
        <w:spacing w:after="0" w:line="131" w:lineRule="exact"/>
        <w:rPr>
          <w:sz w:val="20"/>
          <w:szCs w:val="20"/>
          <w:color w:val="auto"/>
        </w:rPr>
      </w:pPr>
    </w:p>
    <w:p>
      <w:pPr>
        <w:ind w:left="1540" w:right="60" w:hanging="439"/>
        <w:spacing w:after="0" w:line="282" w:lineRule="auto"/>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480" w:hanging="439"/>
        <w:spacing w:after="0" w:line="282" w:lineRule="auto"/>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61"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Maynard, Commonwealth of Massachusetts, on the 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January, 2021.</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AQUABOUNTY TECHNOLOGIES,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Sylvia Wulf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Sylvia Wulf</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severally constitutes and appoints Sylvia Wulf, David A. Frank and Angela M. Olsen, and each of them acting singly, as his or her true and lawful attorneys-in-fact and agents, with full power of substitution and resubstitution, for him or her and in his or her name, place, and stead, in any and all capacities, to sign the Registration Statement on Form S-3 of AquaBounty Technologies, Inc., and any or all amendments (including post-effective amendments) thereto and any new registration statement with respect to the offering contemplated thereby filed pursuant to Rule 462(b) of the Securities Act,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9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S-3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Sylvia Wulf</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Sylvia Wulf</w:t>
            </w:r>
          </w:p>
        </w:tc>
        <w:tc>
          <w:tcPr>
            <w:tcW w:w="120" w:type="dxa"/>
            <w:vAlign w:val="bottom"/>
          </w:tcPr>
          <w:p>
            <w:pPr>
              <w:spacing w:after="0"/>
              <w:rPr>
                <w:sz w:val="19"/>
                <w:szCs w:val="19"/>
                <w:color w:val="auto"/>
              </w:rPr>
            </w:pPr>
          </w:p>
        </w:tc>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A. Frank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 (Principal Financial Officer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A. Frank</w:t>
            </w:r>
          </w:p>
        </w:tc>
        <w:tc>
          <w:tcPr>
            <w:tcW w:w="120" w:type="dxa"/>
            <w:vAlign w:val="bottom"/>
          </w:tcPr>
          <w:p>
            <w:pPr>
              <w:spacing w:after="0"/>
              <w:rPr>
                <w:sz w:val="19"/>
                <w:szCs w:val="19"/>
                <w:color w:val="auto"/>
              </w:rPr>
            </w:pPr>
          </w:p>
        </w:tc>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J. Clothier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J. Clothier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Theodore J. Fisher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Theodore J. Fisher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L. Huber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 Huber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Alana Kirk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Alana Kirk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St. Clare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Christine St. Clare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Rick Sterling</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Rick Sterling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C. Turk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20, 2021</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C. Turk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II-6</w:t>
            </w: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AQUABOUNTY TECHNOLOGIES, INC.,</w:t>
      </w:r>
    </w:p>
    <w:p>
      <w:pPr>
        <w:spacing w:after="0" w:line="23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r>
        <w:rPr>
          <w:rFonts w:ascii="Times New Roman" w:cs="Times New Roman" w:eastAsia="Times New Roman" w:hAnsi="Times New Roman"/>
          <w:sz w:val="15"/>
          <w:szCs w:val="15"/>
          <w:b w:val="1"/>
          <w:bCs w:val="1"/>
          <w:color w:val="auto"/>
        </w:rPr>
        <w:t>1</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1 </w:t>
      </w:r>
      <w:r>
        <w:rPr>
          <w:rFonts w:ascii="Times New Roman" w:cs="Times New Roman" w:eastAsia="Times New Roman" w:hAnsi="Times New Roman"/>
          <w:sz w:val="18"/>
          <w:szCs w:val="18"/>
          <w:color w:val="auto"/>
        </w:rPr>
        <w:t>DEFINITIONS</w:t>
      </w:r>
    </w:p>
    <w:p>
      <w:pPr>
        <w:spacing w:after="0" w:line="31"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color w:val="auto"/>
        </w:rPr>
        <w:t>Definitions of Terms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2 </w:t>
      </w:r>
      <w:r>
        <w:rPr>
          <w:rFonts w:ascii="Times New Roman" w:cs="Times New Roman" w:eastAsia="Times New Roman" w:hAnsi="Times New Roman"/>
          <w:sz w:val="18"/>
          <w:szCs w:val="18"/>
          <w:color w:val="auto"/>
        </w:rPr>
        <w:t>ISSUE, DESCRIPTION, TERMS, EXECUTION, REGISTRATION AND EXCHANGE OF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color w:val="auto"/>
        </w:rPr>
        <w:t>Designation and Terms of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color w:val="auto"/>
        </w:rPr>
        <w:t>Form of Securities and Trustee’s Certificate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color w:val="auto"/>
        </w:rPr>
        <w:t>Denominations: Provisions for Payment</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color w:val="auto"/>
        </w:rPr>
        <w:t>Execution and Authentications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color w:val="auto"/>
        </w:rPr>
        <w:t>Registration of Transfer and Exchange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color w:val="auto"/>
        </w:rPr>
        <w:t>Temporary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color w:val="auto"/>
        </w:rPr>
        <w:t>Mutilated, Destroyed, Lost or Stolen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color w:val="auto"/>
        </w:rPr>
        <w:t>Cancellation</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color w:val="auto"/>
        </w:rPr>
        <w:t>Benefits of Indenture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color w:val="auto"/>
        </w:rPr>
        <w:t>Authenticating Agent</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color w:val="auto"/>
        </w:rPr>
        <w:t>Global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Times New Roman" w:cs="Times New Roman" w:eastAsia="Times New Roman" w:hAnsi="Times New Roman"/>
          <w:sz w:val="18"/>
          <w:szCs w:val="18"/>
          <w:color w:val="auto"/>
        </w:rPr>
        <w:t>REDEMPTION OF SECURITIES AND SINKING FUND PROVISIONS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color w:val="auto"/>
        </w:rPr>
        <w:t>Redemption</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color w:val="auto"/>
        </w:rPr>
        <w:t>Notice of Redemption</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color w:val="auto"/>
        </w:rPr>
        <w:t>Payment Upon Redemption</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color w:val="auto"/>
        </w:rPr>
        <w:t>Sinking Fund</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color w:val="auto"/>
        </w:rPr>
        <w:t>Satisfaction of Sinking Fund Payments with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color w:val="auto"/>
        </w:rPr>
        <w:t>Redemption of Securities for Sinking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Times New Roman" w:cs="Times New Roman" w:eastAsia="Times New Roman" w:hAnsi="Times New Roman"/>
          <w:sz w:val="18"/>
          <w:szCs w:val="18"/>
          <w:color w:val="auto"/>
        </w:rPr>
        <w:t>COVENANTS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color w:val="auto"/>
        </w:rPr>
        <w:t>Payment of Principal, Premium and Interest</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color w:val="auto"/>
        </w:rPr>
        <w:t>Maintenance of Office or Agency</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color w:val="auto"/>
        </w:rPr>
        <w:t>Paying Agents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color w:val="auto"/>
        </w:rPr>
        <w:t>Appointment to Fill Vacancy in Office of Trustee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color w:val="auto"/>
        </w:rPr>
        <w:t>Compliance with Consolidation Provisions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Times New Roman" w:cs="Times New Roman" w:eastAsia="Times New Roman" w:hAnsi="Times New Roman"/>
          <w:sz w:val="18"/>
          <w:szCs w:val="18"/>
          <w:color w:val="auto"/>
        </w:rPr>
        <w:t>SECURITYHOLDERS’ LISTS AND REPORTS BY THE COMPANY AND THE TRUSTEE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color w:val="auto"/>
        </w:rPr>
        <w:t>Company to Furnish Trustee Names and Addresses of Securityholders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color w:val="auto"/>
        </w:rPr>
        <w:t>Preservation Of Information; Communications With Securityholders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7"/>
          <w:szCs w:val="17"/>
          <w:color w:val="auto"/>
        </w:rPr>
        <w:t>Reports by the Company</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color w:val="auto"/>
        </w:rPr>
        <w:t>Reports by the Trustee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Times New Roman" w:cs="Times New Roman" w:eastAsia="Times New Roman" w:hAnsi="Times New Roman"/>
          <w:sz w:val="18"/>
          <w:szCs w:val="18"/>
          <w:color w:val="auto"/>
        </w:rPr>
        <w:t>REMEDIES OF THE TRUSTEE AND SECURITYHOLDERS ON EVENT OF DEFAULT</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color w:val="auto"/>
        </w:rPr>
        <w:t>Events of Default</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color w:val="auto"/>
        </w:rPr>
        <w:t>Collection of Indebtedness and Suits for Enforcement by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324" w:hanging="324"/>
        <w:spacing w:after="0"/>
        <w:tabs>
          <w:tab w:leader="none" w:pos="32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This Table of Contents does not constitute part of the Indenture and shall not have any bearing on the interpretation of any of its terms or provisions.</w:t>
      </w:r>
    </w:p>
    <w:p>
      <w:pPr>
        <w:spacing w:after="0" w:line="264"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color w:val="auto"/>
        </w:rPr>
        <w:t>Application of Moneys Collected</w:t>
      </w:r>
    </w:p>
    <w:p>
      <w:pPr>
        <w:spacing w:after="0" w:line="27"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color w:val="auto"/>
        </w:rPr>
        <w:t>Limitation on Suits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color w:val="auto"/>
        </w:rPr>
        <w:t>Rights and Remedies Cumulative; Delay or Omission Not Waiver</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color w:val="auto"/>
        </w:rPr>
        <w:t>Control by Securityholders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color w:val="auto"/>
        </w:rPr>
        <w:t>Undertaking to Pay Costs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Times New Roman" w:cs="Times New Roman" w:eastAsia="Times New Roman" w:hAnsi="Times New Roman"/>
          <w:sz w:val="18"/>
          <w:szCs w:val="18"/>
          <w:color w:val="auto"/>
        </w:rPr>
        <w:t>CONCERNING THE TRUSTEE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color w:val="auto"/>
        </w:rPr>
        <w:t>Certain Duties and Responsibilities of Trustee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color w:val="auto"/>
        </w:rPr>
        <w:t>Certain Rights of Trustee</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color w:val="auto"/>
        </w:rPr>
        <w:t>Trustee Not Responsible for Recitals or Issuance or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color w:val="auto"/>
        </w:rPr>
        <w:t>May Hold Securities</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color w:val="auto"/>
        </w:rPr>
        <w:t>Moneys Held in Trust</w:t>
      </w:r>
    </w:p>
    <w:p>
      <w:pPr>
        <w:spacing w:after="0" w:line="9" w:lineRule="exact"/>
        <w:rPr>
          <w:sz w:val="20"/>
          <w:szCs w:val="20"/>
          <w:color w:val="auto"/>
        </w:rPr>
      </w:pPr>
    </w:p>
    <w:p>
      <w:pPr>
        <w:ind w:left="364"/>
        <w:spacing w:after="0"/>
        <w:tabs>
          <w:tab w:leader="none" w:pos="1564"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7"/>
          <w:szCs w:val="17"/>
          <w:color w:val="auto"/>
        </w:rPr>
        <w:t>Compensation and Reimbursement</w:t>
      </w:r>
    </w:p>
    <w:p>
      <w:pPr>
        <w:sectPr>
          <w:pgSz w:w="11900" w:h="16838" w:orient="portrait"/>
          <w:cols w:equalWidth="0" w:num="1">
            <w:col w:w="11004"/>
          </w:cols>
          <w:pgMar w:left="436" w:top="266" w:right="459" w:bottom="1440" w:gutter="0" w:footer="0" w:header="0"/>
        </w:sectPr>
      </w:pPr>
    </w:p>
    <w:bookmarkStart w:id="37" w:name="page38"/>
    <w:bookmarkEnd w:id="37"/>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7.07</w:t>
      </w:r>
      <w:r>
        <w:rPr>
          <w:sz w:val="20"/>
          <w:szCs w:val="20"/>
          <w:color w:val="auto"/>
        </w:rPr>
        <w:tab/>
      </w:r>
      <w:r>
        <w:rPr>
          <w:rFonts w:ascii="Times New Roman" w:cs="Times New Roman" w:eastAsia="Times New Roman" w:hAnsi="Times New Roman"/>
          <w:sz w:val="17"/>
          <w:szCs w:val="17"/>
          <w:color w:val="auto"/>
        </w:rPr>
        <w:t>Reliance on Officer’s Certificate or Opinion of Counsel</w:t>
      </w:r>
    </w:p>
    <w:p>
      <w:pPr>
        <w:spacing w:after="0" w:line="27"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color w:val="auto"/>
        </w:rPr>
        <w:t>Disqualification; Conflicting Interests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color w:val="auto"/>
        </w:rPr>
        <w:t>Corporate Trustee Required; Eligibility</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color w:val="auto"/>
        </w:rPr>
        <w:t>Resignation and Removal; Appointment of Successor</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color w:val="auto"/>
        </w:rPr>
        <w:t>Acceptance of Appointment By Successor</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color w:val="auto"/>
        </w:rPr>
        <w:t>Merger, Conversion, Consolidation or Succession to Business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color w:val="auto"/>
        </w:rPr>
        <w:t>Preferential Collection of Claims Against the Company</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7.14</w:t>
      </w:r>
      <w:r>
        <w:rPr>
          <w:sz w:val="20"/>
          <w:szCs w:val="20"/>
          <w:color w:val="auto"/>
        </w:rPr>
        <w:tab/>
      </w:r>
      <w:r>
        <w:rPr>
          <w:rFonts w:ascii="Times New Roman" w:cs="Times New Roman" w:eastAsia="Times New Roman" w:hAnsi="Times New Roman"/>
          <w:sz w:val="17"/>
          <w:szCs w:val="17"/>
          <w:color w:val="auto"/>
        </w:rPr>
        <w:t>Notice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Times New Roman" w:cs="Times New Roman" w:eastAsia="Times New Roman" w:hAnsi="Times New Roman"/>
          <w:sz w:val="18"/>
          <w:szCs w:val="18"/>
          <w:color w:val="auto"/>
        </w:rPr>
        <w:t>CONCERNING THE SECURITYHOLDERS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color w:val="auto"/>
        </w:rPr>
        <w:t>Evidence of Action by Securityholders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color w:val="auto"/>
        </w:rPr>
        <w:t>Proof of Execution by Securityholders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color w:val="auto"/>
        </w:rPr>
        <w:t>Who May be Deemed Owners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color w:val="auto"/>
        </w:rPr>
        <w:t>Certain Securities Owned by Company Disregarded</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color w:val="auto"/>
        </w:rPr>
        <w:t>Actions Binding on Future Securityholders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9 </w:t>
      </w:r>
      <w:r>
        <w:rPr>
          <w:rFonts w:ascii="Times New Roman" w:cs="Times New Roman" w:eastAsia="Times New Roman" w:hAnsi="Times New Roman"/>
          <w:sz w:val="18"/>
          <w:szCs w:val="18"/>
          <w:color w:val="auto"/>
        </w:rPr>
        <w:t>SUPPLEMENTAL INDENTURES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color w:val="auto"/>
        </w:rPr>
        <w:t>Supplemental Indentures Without the Consent of Securityholders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color w:val="auto"/>
        </w:rPr>
        <w:t>Supplemental Indentures With Consent of Securityholders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color w:val="auto"/>
        </w:rPr>
        <w:t>Effect of Supplemental Indentures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color w:val="auto"/>
        </w:rPr>
        <w:t>Securities Affected by Supplemental Indentures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color w:val="auto"/>
        </w:rPr>
        <w:t>Execution of Supplemental Indentures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10 </w:t>
      </w:r>
      <w:r>
        <w:rPr>
          <w:rFonts w:ascii="Times New Roman" w:cs="Times New Roman" w:eastAsia="Times New Roman" w:hAnsi="Times New Roman"/>
          <w:sz w:val="18"/>
          <w:szCs w:val="18"/>
          <w:color w:val="auto"/>
        </w:rPr>
        <w:t>SUCCESSOR ENTITY</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color w:val="auto"/>
        </w:rPr>
        <w:t>Company May Consolidate, Etc</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color w:val="auto"/>
        </w:rPr>
        <w:t>Successor Entity Substituted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11 </w:t>
      </w:r>
      <w:r>
        <w:rPr>
          <w:rFonts w:ascii="Times New Roman" w:cs="Times New Roman" w:eastAsia="Times New Roman" w:hAnsi="Times New Roman"/>
          <w:sz w:val="18"/>
          <w:szCs w:val="18"/>
          <w:color w:val="auto"/>
        </w:rPr>
        <w:t>SATISFACTION AND DISCHARGE</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8"/>
          <w:szCs w:val="18"/>
          <w:color w:val="auto"/>
        </w:rPr>
        <w:t>Satisfaction and Discharge of Indenture</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color w:val="auto"/>
        </w:rPr>
        <w:t>Discharge of Obligations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color w:val="auto"/>
        </w:rPr>
        <w:t>Deposited Moneys to be Held in Trust</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7"/>
          <w:szCs w:val="17"/>
          <w:color w:val="auto"/>
        </w:rPr>
        <w:t>Payment of Moneys Held by Paying Agents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7"/>
          <w:szCs w:val="17"/>
          <w:color w:val="auto"/>
        </w:rPr>
        <w:t>Repayment to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ARTICLE 12 </w:t>
      </w:r>
      <w:r>
        <w:rPr>
          <w:rFonts w:ascii="Times New Roman" w:cs="Times New Roman" w:eastAsia="Times New Roman" w:hAnsi="Times New Roman"/>
          <w:sz w:val="17"/>
          <w:szCs w:val="17"/>
          <w:color w:val="auto"/>
        </w:rPr>
        <w:t>IMMUNITY OF INCORPORATORS, STOCKHOLDERS, OFFICERS AND DIRECTORS</w:t>
      </w:r>
    </w:p>
    <w:p>
      <w:pPr>
        <w:spacing w:after="0" w:line="21"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8"/>
          <w:szCs w:val="18"/>
          <w:color w:val="auto"/>
        </w:rPr>
        <w:t>No Recourse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13 </w:t>
      </w:r>
      <w:r>
        <w:rPr>
          <w:rFonts w:ascii="Times New Roman" w:cs="Times New Roman" w:eastAsia="Times New Roman" w:hAnsi="Times New Roman"/>
          <w:sz w:val="18"/>
          <w:szCs w:val="18"/>
          <w:color w:val="auto"/>
        </w:rPr>
        <w:t>MISCELLANEOUS PROVISIONS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7"/>
          <w:szCs w:val="17"/>
          <w:color w:val="auto"/>
        </w:rPr>
        <w:t>Effect on Successors and Assigns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13.02</w:t>
      </w:r>
      <w:r>
        <w:rPr>
          <w:sz w:val="20"/>
          <w:szCs w:val="20"/>
          <w:color w:val="auto"/>
        </w:rPr>
        <w:tab/>
      </w:r>
      <w:r>
        <w:rPr>
          <w:rFonts w:ascii="Times New Roman" w:cs="Times New Roman" w:eastAsia="Times New Roman" w:hAnsi="Times New Roman"/>
          <w:sz w:val="17"/>
          <w:szCs w:val="17"/>
          <w:color w:val="auto"/>
        </w:rPr>
        <w:t>Actions by Successor</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13.03</w:t>
      </w:r>
      <w:r>
        <w:rPr>
          <w:sz w:val="20"/>
          <w:szCs w:val="20"/>
          <w:color w:val="auto"/>
        </w:rPr>
        <w:tab/>
      </w:r>
      <w:r>
        <w:rPr>
          <w:rFonts w:ascii="Times New Roman" w:cs="Times New Roman" w:eastAsia="Times New Roman" w:hAnsi="Times New Roman"/>
          <w:sz w:val="17"/>
          <w:szCs w:val="17"/>
          <w:color w:val="auto"/>
        </w:rPr>
        <w:t>Surrender of Company Powers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13.04</w:t>
      </w:r>
      <w:r>
        <w:rPr>
          <w:sz w:val="20"/>
          <w:szCs w:val="20"/>
          <w:color w:val="auto"/>
        </w:rPr>
        <w:tab/>
      </w:r>
      <w:r>
        <w:rPr>
          <w:rFonts w:ascii="Times New Roman" w:cs="Times New Roman" w:eastAsia="Times New Roman" w:hAnsi="Times New Roman"/>
          <w:sz w:val="17"/>
          <w:szCs w:val="17"/>
          <w:color w:val="auto"/>
        </w:rPr>
        <w:t>Notices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13.05</w:t>
      </w:r>
      <w:r>
        <w:rPr>
          <w:sz w:val="20"/>
          <w:szCs w:val="20"/>
          <w:color w:val="auto"/>
        </w:rPr>
        <w:tab/>
      </w:r>
      <w:r>
        <w:rPr>
          <w:rFonts w:ascii="Times New Roman" w:cs="Times New Roman" w:eastAsia="Times New Roman" w:hAnsi="Times New Roman"/>
          <w:sz w:val="17"/>
          <w:szCs w:val="17"/>
          <w:color w:val="auto"/>
        </w:rPr>
        <w:t>Governing Law; Jury Trial Waiver</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13.06</w:t>
      </w:r>
      <w:r>
        <w:rPr>
          <w:sz w:val="20"/>
          <w:szCs w:val="20"/>
          <w:color w:val="auto"/>
        </w:rPr>
        <w:tab/>
      </w:r>
      <w:r>
        <w:rPr>
          <w:rFonts w:ascii="Times New Roman" w:cs="Times New Roman" w:eastAsia="Times New Roman" w:hAnsi="Times New Roman"/>
          <w:sz w:val="17"/>
          <w:szCs w:val="17"/>
          <w:color w:val="auto"/>
        </w:rPr>
        <w:t>Treatment of Securities as Debt</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13.07</w:t>
      </w:r>
      <w:r>
        <w:rPr>
          <w:sz w:val="20"/>
          <w:szCs w:val="20"/>
          <w:color w:val="auto"/>
        </w:rPr>
        <w:tab/>
      </w:r>
      <w:r>
        <w:rPr>
          <w:rFonts w:ascii="Times New Roman" w:cs="Times New Roman" w:eastAsia="Times New Roman" w:hAnsi="Times New Roman"/>
          <w:sz w:val="17"/>
          <w:szCs w:val="17"/>
          <w:color w:val="auto"/>
        </w:rPr>
        <w:t>Certificates and Opinions as to Conditions Precedent</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13.08</w:t>
      </w:r>
      <w:r>
        <w:rPr>
          <w:sz w:val="20"/>
          <w:szCs w:val="20"/>
          <w:color w:val="auto"/>
        </w:rPr>
        <w:tab/>
      </w:r>
      <w:r>
        <w:rPr>
          <w:rFonts w:ascii="Times New Roman" w:cs="Times New Roman" w:eastAsia="Times New Roman" w:hAnsi="Times New Roman"/>
          <w:sz w:val="17"/>
          <w:szCs w:val="17"/>
          <w:color w:val="auto"/>
        </w:rPr>
        <w:t>Payments on Business Days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13.09</w:t>
      </w:r>
      <w:r>
        <w:rPr>
          <w:sz w:val="20"/>
          <w:szCs w:val="20"/>
          <w:color w:val="auto"/>
        </w:rPr>
        <w:tab/>
      </w:r>
      <w:r>
        <w:rPr>
          <w:rFonts w:ascii="Times New Roman" w:cs="Times New Roman" w:eastAsia="Times New Roman" w:hAnsi="Times New Roman"/>
          <w:sz w:val="17"/>
          <w:szCs w:val="17"/>
          <w:color w:val="auto"/>
        </w:rPr>
        <w:t>Conflict with Trust Indenture Act</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color w:val="auto"/>
        </w:rPr>
        <w:t>Counterparts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color w:val="auto"/>
        </w:rPr>
        <w:t>Separability</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color w:val="auto"/>
        </w:rPr>
        <w:t>Compliance Certificates</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color w:val="auto"/>
        </w:rPr>
        <w:t>USA PATRIOT ACT</w:t>
      </w:r>
    </w:p>
    <w:p>
      <w:pPr>
        <w:spacing w:after="0" w:line="9" w:lineRule="exact"/>
        <w:rPr>
          <w:sz w:val="20"/>
          <w:szCs w:val="20"/>
          <w:color w:val="auto"/>
        </w:rPr>
      </w:pPr>
    </w:p>
    <w:p>
      <w:pPr>
        <w:ind w:left="36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13.14</w:t>
      </w:r>
      <w:r>
        <w:rPr>
          <w:sz w:val="20"/>
          <w:szCs w:val="20"/>
          <w:color w:val="auto"/>
        </w:rPr>
        <w:tab/>
      </w:r>
      <w:r>
        <w:rPr>
          <w:rFonts w:ascii="Times New Roman" w:cs="Times New Roman" w:eastAsia="Times New Roman" w:hAnsi="Times New Roman"/>
          <w:sz w:val="18"/>
          <w:szCs w:val="18"/>
          <w:color w:val="auto"/>
        </w:rPr>
        <w:t>Calculations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INDENTURE ACT CROSS-REFERENCE TABLE</w:t>
      </w:r>
    </w:p>
    <w:p>
      <w:pPr>
        <w:sectPr>
          <w:pgSz w:w="11900" w:h="16838" w:orient="portrait"/>
          <w:cols w:equalWidth="0" w:num="1">
            <w:col w:w="10019"/>
          </w:cols>
          <w:pgMar w:left="440" w:top="270" w:right="1440"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AQUABOUNTY TECHNOLOGIES,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and binding agreement of the Company, in accordance with its terms, have been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done.</w:t>
      </w:r>
    </w:p>
    <w:p>
      <w:pPr>
        <w:spacing w:after="0" w:line="20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xml:space="preserve">” means an authenticating agent with respect to all or any of the series of Securities appointed by the Trustee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ectPr>
          <w:pgSz w:w="11900" w:h="16838" w:orient="portrait"/>
          <w:cols w:equalWidth="0" w:num="1">
            <w:col w:w="10960"/>
          </w:cols>
          <w:pgMar w:left="440" w:top="266" w:right="499" w:bottom="1440" w:gutter="0" w:footer="0" w:header="0"/>
        </w:sectPr>
      </w:pPr>
    </w:p>
    <w:bookmarkStart w:id="39" w:name="page40"/>
    <w:bookmarkEnd w:id="39"/>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AquaBounty Technologies, Inc., a corporation duly organized and existing under the laws of the State of Delaware, and, subject to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shall also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 Officer of the Company, and delivered to the Trustee.</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administered, which office at the date hereof is located at.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with respect to Securities of a particular series, any event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continued for the period of time, if any, therein designated.</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w:t>
      </w:r>
    </w:p>
    <w:p>
      <w:pPr>
        <w:spacing w:after="0" w:line="4"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 xml:space="preserve">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2"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ectPr>
          <w:pgSz w:w="11900" w:h="16838" w:orient="portrait"/>
          <w:cols w:equalWidth="0" w:num="1">
            <w:col w:w="11000"/>
          </w:cols>
          <w:pgMar w:left="440" w:top="266" w:right="459" w:bottom="1440" w:gutter="0" w:footer="0" w:header="0"/>
        </w:sectPr>
      </w:pPr>
    </w:p>
    <w:bookmarkStart w:id="40" w:name="page41"/>
    <w:bookmarkEnd w:id="40"/>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signed by any Officer. Each such certificate shall include the statements provided for in </w:t>
      </w:r>
      <w:r>
        <w:rPr>
          <w:rFonts w:ascii="Times New Roman" w:cs="Times New Roman" w:eastAsia="Times New Roman" w:hAnsi="Times New Roman"/>
          <w:sz w:val="18"/>
          <w:szCs w:val="18"/>
          <w:u w:val="single" w:color="auto"/>
          <w:color w:val="auto"/>
        </w:rPr>
        <w:t>Section 13.07</w:t>
      </w:r>
      <w:r>
        <w:rPr>
          <w:rFonts w:ascii="Times New Roman" w:cs="Times New Roman" w:eastAsia="Times New Roman" w:hAnsi="Times New Roman"/>
          <w:sz w:val="18"/>
          <w:szCs w:val="18"/>
          <w:color w:val="auto"/>
        </w:rPr>
        <w:t>, if and to the extent required by the provisions thereof.</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 w:cs="Times New Roman" w:eastAsia="Times New Roman" w:hAnsi="Times New Roman"/>
          <w:sz w:val="18"/>
          <w:szCs w:val="18"/>
          <w:u w:val="single" w:color="auto"/>
          <w:color w:val="auto"/>
        </w:rPr>
        <w:t>Section 13.07</w:t>
      </w:r>
      <w:r>
        <w:rPr>
          <w:rFonts w:ascii="Times New Roman" w:cs="Times New Roman" w:eastAsia="Times New Roman" w:hAnsi="Times New Roman"/>
          <w:sz w:val="18"/>
          <w:szCs w:val="18"/>
          <w:color w:val="auto"/>
        </w:rPr>
        <w:t>, if and to the extent required by the provisions thereof.</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when used with reference to Securities of any series, means, subject to the provisions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Securities or portions of such Securities are to be redeemed prior to the maturity thereof, notice of such redemption shall have been given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16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32"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lieu of a lost, destroyed or stolen Security shall be deemed to evidence the same debt as the lost, destroyed or stolen Security.</w:t>
      </w:r>
    </w:p>
    <w:p>
      <w:pPr>
        <w:spacing w:after="0" w:line="17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8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xml:space="preserve">” shall have the meanings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40" w:right="120" w:firstLine="419"/>
        <w:spacing w:after="0" w:line="266"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ectPr>
          <w:pgSz w:w="11900" w:h="16838" w:orient="portrait"/>
          <w:cols w:equalWidth="0" w:num="1">
            <w:col w:w="10940"/>
          </w:cols>
          <w:pgMar w:left="440" w:top="266" w:right="519" w:bottom="1440" w:gutter="0" w:footer="0" w:header="0"/>
        </w:sectPr>
      </w:pPr>
    </w:p>
    <w:bookmarkStart w:id="41" w:name="page42"/>
    <w:bookmarkEnd w:id="41"/>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 a partnership in which such Person or a subsidiary of such Person is, at the date of determination, a general partner of such partnership;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440" w:right="160" w:firstLine="419"/>
        <w:spacing w:after="0" w:line="261"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means , and, subject to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and in effect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81" w:lineRule="auto"/>
        <w:tabs>
          <w:tab w:leader="none" w:pos="12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56" w:lineRule="exact"/>
        <w:rPr>
          <w:rFonts w:ascii="Times New Roman" w:cs="Times New Roman" w:eastAsia="Times New Roman" w:hAnsi="Times New Roman"/>
          <w:sz w:val="17"/>
          <w:szCs w:val="17"/>
          <w:color w:val="auto"/>
        </w:rPr>
      </w:pPr>
    </w:p>
    <w:p>
      <w:pPr>
        <w:ind w:left="1440" w:hanging="263"/>
        <w:spacing w:after="0"/>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color w:val="auto"/>
        </w:rPr>
      </w:pPr>
    </w:p>
    <w:p>
      <w:pPr>
        <w:jc w:val="both"/>
        <w:ind w:left="440" w:right="200" w:firstLine="737"/>
        <w:spacing w:after="0" w:line="266" w:lineRule="auto"/>
        <w:tabs>
          <w:tab w:leader="none" w:pos="14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67"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ind w:left="440" w:right="20" w:firstLine="737"/>
        <w:spacing w:after="0" w:line="261" w:lineRule="auto"/>
        <w:tabs>
          <w:tab w:leader="none" w:pos="14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117" w:lineRule="exact"/>
        <w:rPr>
          <w:rFonts w:ascii="Times New Roman" w:cs="Times New Roman" w:eastAsia="Times New Roman" w:hAnsi="Times New Roman"/>
          <w:sz w:val="18"/>
          <w:szCs w:val="18"/>
          <w:color w:val="auto"/>
        </w:rPr>
      </w:pPr>
    </w:p>
    <w:p>
      <w:pPr>
        <w:ind w:left="440" w:right="220" w:firstLine="737"/>
        <w:spacing w:after="0" w:line="266" w:lineRule="auto"/>
        <w:tabs>
          <w:tab w:leader="none" w:pos="14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7" w:lineRule="exact"/>
        <w:rPr>
          <w:rFonts w:ascii="Times New Roman" w:cs="Times New Roman" w:eastAsia="Times New Roman" w:hAnsi="Times New Roman"/>
          <w:sz w:val="18"/>
          <w:szCs w:val="18"/>
          <w:color w:val="auto"/>
        </w:rPr>
      </w:pPr>
    </w:p>
    <w:p>
      <w:pPr>
        <w:ind w:left="1440" w:hanging="263"/>
        <w:spacing w:after="0"/>
        <w:tabs>
          <w:tab w:leader="none" w:pos="14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17" w:lineRule="exact"/>
        <w:rPr>
          <w:rFonts w:ascii="Times New Roman" w:cs="Times New Roman" w:eastAsia="Times New Roman" w:hAnsi="Times New Roman"/>
          <w:sz w:val="18"/>
          <w:szCs w:val="18"/>
          <w:color w:val="auto"/>
        </w:rPr>
      </w:pPr>
    </w:p>
    <w:p>
      <w:pPr>
        <w:ind w:left="440" w:firstLine="737"/>
        <w:spacing w:after="0" w:line="282" w:lineRule="auto"/>
        <w:tabs>
          <w:tab w:leader="none" w:pos="14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ectPr>
          <w:pgSz w:w="11900" w:h="16838" w:orient="portrait"/>
          <w:cols w:equalWidth="0" w:num="1">
            <w:col w:w="10980"/>
          </w:cols>
          <w:pgMar w:left="440" w:top="270" w:right="479" w:bottom="1440" w:gutter="0" w:footer="0" w:header="0"/>
        </w:sectPr>
      </w:pPr>
    </w:p>
    <w:bookmarkStart w:id="42" w:name="page43"/>
    <w:bookmarkEnd w:id="42"/>
    <w:p>
      <w:pPr>
        <w:ind w:left="-560" w:right="360" w:firstLine="737"/>
        <w:spacing w:after="0" w:line="261" w:lineRule="auto"/>
        <w:tabs>
          <w:tab w:leader="none" w:pos="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520" w:hanging="343"/>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color w:val="auto"/>
        </w:rPr>
      </w:pPr>
    </w:p>
    <w:p>
      <w:pPr>
        <w:ind w:left="-560" w:right="660" w:firstLine="737"/>
        <w:spacing w:after="0" w:line="282" w:lineRule="auto"/>
        <w:tabs>
          <w:tab w:leader="none" w:pos="5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Securities of the series shall be issuable;</w:t>
      </w:r>
    </w:p>
    <w:p>
      <w:pPr>
        <w:spacing w:after="0" w:line="53" w:lineRule="exact"/>
        <w:rPr>
          <w:rFonts w:ascii="Times New Roman" w:cs="Times New Roman" w:eastAsia="Times New Roman" w:hAnsi="Times New Roman"/>
          <w:sz w:val="18"/>
          <w:szCs w:val="18"/>
          <w:color w:val="auto"/>
        </w:rPr>
      </w:pPr>
    </w:p>
    <w:p>
      <w:pPr>
        <w:jc w:val="both"/>
        <w:ind w:left="-560" w:right="280" w:firstLine="737"/>
        <w:spacing w:after="0" w:line="261"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71" w:lineRule="exact"/>
        <w:rPr>
          <w:rFonts w:ascii="Times New Roman" w:cs="Times New Roman" w:eastAsia="Times New Roman" w:hAnsi="Times New Roman"/>
          <w:sz w:val="18"/>
          <w:szCs w:val="18"/>
          <w:color w:val="auto"/>
        </w:rPr>
      </w:pPr>
    </w:p>
    <w:p>
      <w:pPr>
        <w:ind w:left="-560" w:right="140" w:firstLine="737"/>
        <w:spacing w:after="0" w:line="266"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560" w:right="200" w:firstLine="737"/>
        <w:spacing w:after="0" w:line="261"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1" w:lineRule="exact"/>
        <w:rPr>
          <w:rFonts w:ascii="Times New Roman" w:cs="Times New Roman" w:eastAsia="Times New Roman" w:hAnsi="Times New Roman"/>
          <w:sz w:val="18"/>
          <w:szCs w:val="18"/>
          <w:color w:val="auto"/>
        </w:rPr>
      </w:pPr>
    </w:p>
    <w:p>
      <w:pPr>
        <w:ind w:left="-560" w:right="60" w:firstLine="737"/>
        <w:spacing w:after="0" w:line="282"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6.01;</w:t>
      </w:r>
    </w:p>
    <w:p>
      <w:pPr>
        <w:spacing w:after="0" w:line="53" w:lineRule="exact"/>
        <w:rPr>
          <w:rFonts w:ascii="Times New Roman" w:cs="Times New Roman" w:eastAsia="Times New Roman" w:hAnsi="Times New Roman"/>
          <w:sz w:val="18"/>
          <w:szCs w:val="18"/>
          <w:color w:val="auto"/>
        </w:rPr>
      </w:pPr>
    </w:p>
    <w:p>
      <w:pPr>
        <w:ind w:left="520" w:hanging="343"/>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17" w:lineRule="exact"/>
        <w:rPr>
          <w:rFonts w:ascii="Times New Roman" w:cs="Times New Roman" w:eastAsia="Times New Roman" w:hAnsi="Times New Roman"/>
          <w:sz w:val="18"/>
          <w:szCs w:val="18"/>
          <w:color w:val="auto"/>
        </w:rPr>
      </w:pPr>
    </w:p>
    <w:p>
      <w:pPr>
        <w:ind w:left="-560" w:right="140" w:firstLine="737"/>
        <w:spacing w:after="0" w:line="254"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Times New Roman" w:cs="Times New Roman" w:eastAsia="Times New Roman" w:hAnsi="Times New Roman"/>
          <w:sz w:val="18"/>
          <w:szCs w:val="18"/>
          <w:color w:val="auto"/>
        </w:rPr>
      </w:pPr>
    </w:p>
    <w:p>
      <w:pPr>
        <w:ind w:left="-560" w:firstLine="737"/>
        <w:spacing w:after="0" w:line="266"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67" w:lineRule="exact"/>
        <w:rPr>
          <w:rFonts w:ascii="Times New Roman" w:cs="Times New Roman" w:eastAsia="Times New Roman" w:hAnsi="Times New Roman"/>
          <w:sz w:val="18"/>
          <w:szCs w:val="18"/>
          <w:color w:val="auto"/>
        </w:rPr>
      </w:pPr>
    </w:p>
    <w:p>
      <w:pPr>
        <w:ind w:left="-560" w:right="80" w:firstLine="737"/>
        <w:spacing w:after="0" w:line="266"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7" w:lineRule="exact"/>
        <w:rPr>
          <w:rFonts w:ascii="Times New Roman" w:cs="Times New Roman" w:eastAsia="Times New Roman" w:hAnsi="Times New Roman"/>
          <w:sz w:val="18"/>
          <w:szCs w:val="18"/>
          <w:color w:val="auto"/>
        </w:rPr>
      </w:pPr>
    </w:p>
    <w:p>
      <w:pPr>
        <w:ind w:left="-560" w:right="100" w:firstLine="737"/>
        <w:spacing w:after="0" w:line="282" w:lineRule="auto"/>
        <w:tabs>
          <w:tab w:leader="none" w:pos="5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ectPr>
          <w:pgSz w:w="11900" w:h="16838" w:orient="portrait"/>
          <w:cols w:equalWidth="0" w:num="1">
            <w:col w:w="10000"/>
          </w:cols>
          <w:pgMar w:left="1440" w:top="270" w:right="459" w:bottom="1440" w:gutter="0" w:footer="0" w:header="0"/>
        </w:sectPr>
      </w:pPr>
    </w:p>
    <w:bookmarkStart w:id="43" w:name="page44"/>
    <w:bookmarkEnd w:id="43"/>
    <w:p>
      <w:pPr>
        <w:ind w:left="440" w:right="60" w:firstLine="737"/>
        <w:spacing w:after="0" w:line="282" w:lineRule="auto"/>
        <w:tabs>
          <w:tab w:leader="none" w:pos="15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3" w:lineRule="exact"/>
        <w:rPr>
          <w:rFonts w:ascii="Times New Roman" w:cs="Times New Roman" w:eastAsia="Times New Roman" w:hAnsi="Times New Roman"/>
          <w:sz w:val="18"/>
          <w:szCs w:val="18"/>
          <w:color w:val="auto"/>
        </w:rPr>
      </w:pPr>
    </w:p>
    <w:p>
      <w:pPr>
        <w:ind w:left="1520" w:hanging="343"/>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17" w:lineRule="exact"/>
        <w:rPr>
          <w:rFonts w:ascii="Times New Roman" w:cs="Times New Roman" w:eastAsia="Times New Roman" w:hAnsi="Times New Roman"/>
          <w:sz w:val="18"/>
          <w:szCs w:val="18"/>
          <w:color w:val="auto"/>
        </w:rPr>
      </w:pPr>
    </w:p>
    <w:p>
      <w:pPr>
        <w:ind w:left="1520" w:hanging="343"/>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520" w:hanging="343"/>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117" w:lineRule="exact"/>
        <w:rPr>
          <w:rFonts w:ascii="Times New Roman" w:cs="Times New Roman" w:eastAsia="Times New Roman" w:hAnsi="Times New Roman"/>
          <w:sz w:val="18"/>
          <w:szCs w:val="18"/>
          <w:color w:val="auto"/>
        </w:rPr>
      </w:pPr>
    </w:p>
    <w:p>
      <w:pPr>
        <w:ind w:left="1520" w:hanging="343"/>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Securities and Trustee’s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 w:cs="Times New Roman" w:eastAsia="Times New Roman" w:hAnsi="Times New Roman"/>
          <w:sz w:val="18"/>
          <w:szCs w:val="18"/>
          <w:u w:val="single" w:color="auto"/>
          <w:color w:val="auto"/>
        </w:rPr>
        <w:t>Section 2.01(a)(18)</w:t>
      </w:r>
      <w:r>
        <w:rPr>
          <w:rFonts w:ascii="Times New Roman" w:cs="Times New Roman" w:eastAsia="Times New Roman" w:hAnsi="Times New Roman"/>
          <w:sz w:val="18"/>
          <w:szCs w:val="18"/>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7"/>
          <w:szCs w:val="17"/>
          <w:b w:val="1"/>
          <w:bCs w:val="1"/>
          <w:color w:val="auto"/>
        </w:rPr>
        <w:t>Defaulted Interest</w:t>
      </w:r>
      <w:r>
        <w:rPr>
          <w:rFonts w:ascii="Times New Roman" w:cs="Times New Roman" w:eastAsia="Times New Roman" w:hAnsi="Times New Roman"/>
          <w:sz w:val="17"/>
          <w:szCs w:val="17"/>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ectPr>
          <w:pgSz w:w="11900" w:h="16838" w:orient="portrait"/>
          <w:cols w:equalWidth="0" w:num="1">
            <w:col w:w="10980"/>
          </w:cols>
          <w:pgMar w:left="440" w:top="270" w:right="479" w:bottom="1440" w:gutter="0" w:footer="0" w:header="0"/>
        </w:sectPr>
      </w:pPr>
    </w:p>
    <w:bookmarkStart w:id="44" w:name="page45"/>
    <w:bookmarkEnd w:id="44"/>
    <w:p>
      <w:pPr>
        <w:ind w:left="440" w:firstLine="737"/>
        <w:spacing w:after="0" w:line="252" w:lineRule="auto"/>
        <w:tabs>
          <w:tab w:leader="none" w:pos="14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87" w:lineRule="exact"/>
        <w:rPr>
          <w:rFonts w:ascii="Times New Roman" w:cs="Times New Roman" w:eastAsia="Times New Roman" w:hAnsi="Times New Roman"/>
          <w:sz w:val="18"/>
          <w:szCs w:val="18"/>
          <w:color w:val="auto"/>
        </w:rPr>
      </w:pPr>
    </w:p>
    <w:p>
      <w:pPr>
        <w:ind w:left="440" w:right="60" w:firstLine="737"/>
        <w:spacing w:after="0" w:line="261" w:lineRule="auto"/>
        <w:tabs>
          <w:tab w:leader="none" w:pos="14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set forth in a Board Resolution or one or more indentures supplemental hereto establishing the terms of any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first day of a month, or (ii) the first day of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fifteenth day of a month, whether or not such date is a Business Day.</w:t>
      </w:r>
    </w:p>
    <w:p>
      <w:pPr>
        <w:spacing w:after="0" w:line="187" w:lineRule="exact"/>
        <w:rPr>
          <w:sz w:val="20"/>
          <w:szCs w:val="20"/>
          <w:color w:val="auto"/>
        </w:rPr>
      </w:pPr>
    </w:p>
    <w:p>
      <w:pPr>
        <w:jc w:val="both"/>
        <w:ind w:right="160" w:firstLine="440"/>
        <w:spacing w:after="0" w:line="312"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ectPr>
          <w:pgSz w:w="11900" w:h="16838" w:orient="portrait"/>
          <w:cols w:equalWidth="0" w:num="1">
            <w:col w:w="11000"/>
          </w:cols>
          <w:pgMar w:left="440" w:top="270" w:right="459" w:bottom="1440" w:gutter="0" w:footer="0" w:header="0"/>
        </w:sectPr>
      </w:pPr>
    </w:p>
    <w:bookmarkStart w:id="45" w:name="page46"/>
    <w:bookmarkEnd w:id="4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183"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77" w:lineRule="auto"/>
        <w:tabs>
          <w:tab w:leader="none" w:pos="123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7" w:lineRule="exact"/>
        <w:rPr>
          <w:rFonts w:ascii="Times New Roman" w:cs="Times New Roman" w:eastAsia="Times New Roman" w:hAnsi="Times New Roman"/>
          <w:sz w:val="17"/>
          <w:szCs w:val="17"/>
          <w:color w:val="auto"/>
        </w:rPr>
      </w:pPr>
    </w:p>
    <w:p>
      <w:pPr>
        <w:ind w:right="120" w:firstLine="987"/>
        <w:spacing w:after="0" w:line="258"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ind w:right="20" w:firstLine="987"/>
        <w:spacing w:after="0" w:line="261"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 w:cs="Times New Roman" w:eastAsia="Times New Roman" w:hAnsi="Times New Roman"/>
          <w:sz w:val="18"/>
          <w:szCs w:val="18"/>
          <w:u w:val="single" w:color="auto"/>
          <w:color w:val="auto"/>
        </w:rPr>
        <w:t>Section 2.06, 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 involving any transfer.</w:t>
      </w:r>
    </w:p>
    <w:p>
      <w:pPr>
        <w:spacing w:after="0" w:line="179"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are, with respect to any Global Security,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w:t>
      </w:r>
    </w:p>
    <w:p>
      <w:pPr>
        <w:sectPr>
          <w:pgSz w:w="11900" w:h="16838" w:orient="portrait"/>
          <w:cols w:equalWidth="0" w:num="1">
            <w:col w:w="11020"/>
          </w:cols>
          <w:pgMar w:left="440" w:top="270" w:right="439" w:bottom="1440" w:gutter="0" w:footer="0" w:header="0"/>
        </w:sectPr>
      </w:pPr>
    </w:p>
    <w:bookmarkStart w:id="46" w:name="page47"/>
    <w:bookmarkEnd w:id="46"/>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ectPr>
          <w:pgSz w:w="11900" w:h="16838" w:orient="portrait"/>
          <w:cols w:equalWidth="0" w:num="1">
            <w:col w:w="11020"/>
          </w:cols>
          <w:pgMar w:left="440" w:top="270" w:right="439" w:bottom="1440" w:gutter="0" w:footer="0" w:header="0"/>
        </w:sectPr>
      </w:pPr>
    </w:p>
    <w:bookmarkStart w:id="47" w:name="page48"/>
    <w:bookmarkEnd w:id="47"/>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89" w:lineRule="auto"/>
        <w:tabs>
          <w:tab w:leader="none" w:pos="123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shall establish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that the Securities of a particular series are to be issued as a Global Security, then the Company shall execute and the Trustee shall, in accordance with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 xml:space="preserve">, authenticate and deliver, a Global Security that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shall represent, and shall be denominated in an amount equal to the aggregate principal amount of, all of the Outstanding Securities of such series, (ii) shall be</w:t>
      </w:r>
    </w:p>
    <w:p>
      <w:pPr>
        <w:sectPr>
          <w:pgSz w:w="11900" w:h="16838" w:orient="portrait"/>
          <w:cols w:equalWidth="0" w:num="1">
            <w:col w:w="11000"/>
          </w:cols>
          <w:pgMar w:left="440" w:top="270" w:right="459" w:bottom="1440" w:gutter="0" w:footer="0" w:header="0"/>
        </w:sectPr>
      </w:pPr>
    </w:p>
    <w:bookmarkStart w:id="48" w:name="page49"/>
    <w:bookmarkEnd w:id="4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Indenture, this Security may be transferred, in whole but not in part, only to another nominee of the Depositary or to a successor Depositary or to a nominee of such successor Depositary.”</w:t>
      </w:r>
    </w:p>
    <w:p>
      <w:pPr>
        <w:spacing w:after="0" w:line="72" w:lineRule="exact"/>
        <w:rPr>
          <w:sz w:val="20"/>
          <w:szCs w:val="20"/>
          <w:color w:val="auto"/>
        </w:rPr>
      </w:pPr>
    </w:p>
    <w:p>
      <w:pPr>
        <w:ind w:right="160" w:firstLine="987"/>
        <w:spacing w:after="0" w:line="266" w:lineRule="auto"/>
        <w:tabs>
          <w:tab w:leader="none" w:pos="124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Global Security of a series may be transferred, in whole but not in part and in the manner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only to another nominee of the Depositary for such series, or to a successor Depositary for such series selected or approved by the Company or to a nominee of such successor Depositary.</w:t>
      </w:r>
    </w:p>
    <w:p>
      <w:pPr>
        <w:spacing w:after="0" w:line="67" w:lineRule="exact"/>
        <w:rPr>
          <w:rFonts w:ascii="Times New Roman" w:cs="Times New Roman" w:eastAsia="Times New Roman" w:hAnsi="Times New Roman"/>
          <w:sz w:val="18"/>
          <w:szCs w:val="18"/>
          <w:color w:val="auto"/>
        </w:rPr>
      </w:pPr>
    </w:p>
    <w:p>
      <w:pPr>
        <w:ind w:right="80" w:firstLine="987"/>
        <w:spacing w:after="0" w:line="25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be applicable to the Securities of such series and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apply to the Securities of such series. In such event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may redeem the Securities of any series issued hereunder on and after the dates and in accordance with the terms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w:t>
      </w:r>
    </w:p>
    <w:p>
      <w:pPr>
        <w:sectPr>
          <w:pgSz w:w="11900" w:h="16838" w:orient="portrait"/>
          <w:cols w:equalWidth="0" w:num="1">
            <w:col w:w="10980"/>
          </w:cols>
          <w:pgMar w:left="440" w:top="270" w:right="479" w:bottom="1440" w:gutter="0" w:footer="0" w:header="0"/>
        </w:sectPr>
      </w:pPr>
    </w:p>
    <w:bookmarkStart w:id="49" w:name="page50"/>
    <w:bookmarkEnd w:id="49"/>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68" w:lineRule="exact"/>
        <w:rPr>
          <w:sz w:val="20"/>
          <w:szCs w:val="20"/>
          <w:color w:val="auto"/>
        </w:rPr>
      </w:pPr>
    </w:p>
    <w:p>
      <w:pPr>
        <w:ind w:firstLine="987"/>
        <w:spacing w:after="0" w:line="253"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4"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shall be applicable to any sinking fund for the retirement of Securities of a series, except as otherwise specified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for Securities of such series.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sinking fund payment shall be applied to the redemption of Securities of any series as provided for by the terms of Securities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ectPr>
          <w:pgSz w:w="11900" w:h="16838" w:orient="portrait"/>
          <w:cols w:equalWidth="0" w:num="1">
            <w:col w:w="11000"/>
          </w:cols>
          <w:pgMar w:left="440"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Maintenance of Office or Agency.</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66"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color w:val="auto"/>
        </w:rPr>
      </w:pPr>
    </w:p>
    <w:p>
      <w:pPr>
        <w:ind w:left="440" w:right="620" w:firstLine="948"/>
        <w:spacing w:after="0" w:line="282" w:lineRule="auto"/>
        <w:tabs>
          <w:tab w:leader="none" w:pos="16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3"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53"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117"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to the contrary, (i) the agreement to hold sums in trust as provided in this Section is 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initially appoints the Trustee at its Corporate Trust Office as its paying agent with respect to the Securities.</w:t>
      </w:r>
    </w:p>
    <w:p>
      <w:pPr>
        <w:sectPr>
          <w:pgSz w:w="11900" w:h="16838" w:orient="portrait"/>
          <w:cols w:equalWidth="0" w:num="1">
            <w:col w:w="11000"/>
          </w:cols>
          <w:pgMar w:left="440" w:top="270"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4.04 </w:t>
      </w:r>
      <w:r>
        <w:rPr>
          <w:rFonts w:ascii="Times New Roman" w:cs="Times New Roman" w:eastAsia="Times New Roman" w:hAnsi="Times New Roman"/>
          <w:sz w:val="18"/>
          <w:szCs w:val="18"/>
          <w:u w:val="single" w:color="auto"/>
          <w:color w:val="auto"/>
        </w:rPr>
        <w:t>Appointment to Fill Vacancy in Office of Trustee.</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whenever necessary to avoid or fill a vacancy in the office of Trustee, will appoint, in the manner provided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a Trustee, so that there shall at all times be a Trustee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Consolidation Provisions.</w:t>
      </w:r>
    </w:p>
    <w:p>
      <w:pPr>
        <w:spacing w:after="0" w:line="11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hereof are complied with.</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to Furnish Trustee Names and Addresses of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will furnish or cause to be furnished to the Trustee (a) within 5 days after each regular record date (as defined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list, in such form as the Trustee may reasonably require, of the names and addresses of the holders of each series of Securities as of such regular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either case, no such list need be furnished for any series for which the Trustee shall be the Security Registrar.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87"/>
        <w:spacing w:after="0" w:line="266"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as to the names and addresses of holders of Securities received by the Trustee in its capacity as Security Registrar (if acting in such capacity).</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destroy any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upon receipt of a new list so furnished.</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shall not be required to deliver to the Trustee any materials for which the Company has sought and received confidential treatment by the Commission;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53" w:name="page54"/>
    <w:bookmarkEnd w:id="53"/>
    <w:p>
      <w:pPr>
        <w:ind w:right="60" w:firstLine="987"/>
        <w:spacing w:after="0" w:line="261"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Delivery of reports, information and documents to the Trustee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117"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 OF DEFAULT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380" w:firstLine="987"/>
        <w:spacing w:after="0" w:line="286"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or more of the following events that has occurred and is continuing:</w:t>
      </w:r>
    </w:p>
    <w:p>
      <w:pPr>
        <w:spacing w:after="0" w:line="50"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ind w:left="440" w:right="160" w:firstLine="948"/>
        <w:spacing w:after="0" w:line="261"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valid extension of the maturity of such Securities in accordance with the terms of any indenture supplemental hereto shall not constitute a default in the payment of principal or premium, if any;</w:t>
      </w:r>
    </w:p>
    <w:p>
      <w:pPr>
        <w:spacing w:after="0" w:line="71"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 shall have been given to the Company by the Trustee or to the Company and the Trustee by the holders of at least 25% in principal amount of the Securities of that series at the time Outstanding;</w:t>
      </w:r>
    </w:p>
    <w:p>
      <w:pPr>
        <w:sectPr>
          <w:pgSz w:w="11900" w:h="16838" w:orient="portrait"/>
          <w:cols w:equalWidth="0" w:num="1">
            <w:col w:w="11020"/>
          </w:cols>
          <w:pgMar w:left="440" w:top="270" w:right="439" w:bottom="1440" w:gutter="0" w:footer="0" w:header="0"/>
        </w:sectPr>
      </w:pPr>
    </w:p>
    <w:bookmarkStart w:id="54" w:name="page55"/>
    <w:bookmarkEnd w:id="54"/>
    <w:p>
      <w:pPr>
        <w:ind w:left="444" w:firstLine="948"/>
        <w:spacing w:after="0" w:line="266" w:lineRule="auto"/>
        <w:tabs>
          <w:tab w:leader="none" w:pos="165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color w:val="auto"/>
        </w:rPr>
      </w:pPr>
    </w:p>
    <w:p>
      <w:pPr>
        <w:ind w:left="444" w:right="60" w:firstLine="948"/>
        <w:spacing w:after="0" w:line="266" w:lineRule="auto"/>
        <w:tabs>
          <w:tab w:leader="none" w:pos="165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67" w:lineRule="exact"/>
        <w:rPr>
          <w:rFonts w:ascii="Times New Roman" w:cs="Times New Roman" w:eastAsia="Times New Roman" w:hAnsi="Times New Roman"/>
          <w:sz w:val="18"/>
          <w:szCs w:val="18"/>
          <w:color w:val="auto"/>
        </w:rPr>
      </w:pPr>
    </w:p>
    <w:p>
      <w:pPr>
        <w:ind w:left="4" w:right="60" w:firstLine="987"/>
        <w:spacing w:after="0" w:line="269" w:lineRule="auto"/>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right="40" w:firstLine="987"/>
        <w:spacing w:after="0" w:line="258" w:lineRule="auto"/>
        <w:tabs>
          <w:tab w:leader="none" w:pos="125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56" w:lineRule="auto"/>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55" w:name="page56"/>
    <w:bookmarkEnd w:id="55"/>
    <w:p>
      <w:pPr>
        <w:ind w:firstLine="987"/>
        <w:spacing w:after="0" w:line="258"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75"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be for the ratable benefit of the holders of the Securities of such series.</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reasonable costs and expenses of collection and of all amounts payable to the Trustee, its agents and attorneys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To the payment of the amounts then due and unpaid upon Securities of such series for principal (and premium, if any) and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ectPr>
          <w:pgSz w:w="11900" w:h="16838" w:orient="portrait"/>
          <w:cols w:equalWidth="0" w:num="1">
            <w:col w:w="11000"/>
          </w:cols>
          <w:pgMar w:left="440" w:top="270" w:right="45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THIRD</w:t>
      </w:r>
      <w:r>
        <w:rPr>
          <w:rFonts w:ascii="Times New Roman" w:cs="Times New Roman" w:eastAsia="Times New Roman" w:hAnsi="Times New Roman"/>
          <w:sz w:val="18"/>
          <w:szCs w:val="18"/>
          <w:color w:val="auto"/>
        </w:rPr>
        <w:t>: To the payment of the remainder, if any, to the Company or any other Person lawfully entitled thereto.</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Rights and Remedies Cumulative; Delay or Omission Not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Securities of any series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direction shall not be in conflict with any rule of law or with this Indenture or subject the Trustee in its sole discretion to personal liability. The Trustee shall have the right</w:t>
      </w:r>
    </w:p>
    <w:p>
      <w:pPr>
        <w:sectPr>
          <w:pgSz w:w="11900" w:h="16838" w:orient="portrait"/>
          <w:cols w:equalWidth="0" w:num="1">
            <w:col w:w="11020"/>
          </w:cols>
          <w:pgMar w:left="440" w:top="266" w:right="43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may on behalf of the holders of all of the Securities of such series waive any past default in the performance of any of the covenants contained herein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79"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4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color w:val="auto"/>
        </w:rPr>
      </w:pPr>
    </w:p>
    <w:p>
      <w:pPr>
        <w:ind w:left="440" w:right="140" w:firstLine="1371"/>
        <w:spacing w:after="0" w:line="261" w:lineRule="auto"/>
        <w:tabs>
          <w:tab w:leader="none" w:pos="2109"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ectPr>
          <w:pgSz w:w="11900" w:h="16838" w:orient="portrait"/>
          <w:cols w:equalWidth="0" w:num="1">
            <w:col w:w="11020"/>
          </w:cols>
          <w:pgMar w:left="440" w:top="270" w:right="439" w:bottom="1440" w:gutter="0" w:footer="0" w:header="0"/>
        </w:sectPr>
      </w:pPr>
    </w:p>
    <w:bookmarkStart w:id="58" w:name="page59"/>
    <w:bookmarkEnd w:id="58"/>
    <w:p>
      <w:pPr>
        <w:ind w:right="20" w:firstLine="1371"/>
        <w:spacing w:after="0" w:line="256" w:lineRule="auto"/>
        <w:tabs>
          <w:tab w:leader="none" w:pos="1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79" w:lineRule="exact"/>
        <w:rPr>
          <w:rFonts w:ascii="Times New Roman" w:cs="Times New Roman" w:eastAsia="Times New Roman" w:hAnsi="Times New Roman"/>
          <w:sz w:val="18"/>
          <w:szCs w:val="18"/>
          <w:color w:val="auto"/>
        </w:rPr>
      </w:pPr>
    </w:p>
    <w:p>
      <w:pPr>
        <w:ind w:right="140" w:firstLine="948"/>
        <w:spacing w:after="0" w:line="282" w:lineRule="auto"/>
        <w:tabs>
          <w:tab w:leader="none" w:pos="12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right="120" w:firstLine="948"/>
        <w:spacing w:after="0" w:line="261" w:lineRule="auto"/>
        <w:tabs>
          <w:tab w:leader="none" w:pos="12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1" w:lineRule="exact"/>
        <w:rPr>
          <w:rFonts w:ascii="Times New Roman" w:cs="Times New Roman" w:eastAsia="Times New Roman" w:hAnsi="Times New Roman"/>
          <w:sz w:val="18"/>
          <w:szCs w:val="18"/>
          <w:color w:val="auto"/>
        </w:rPr>
      </w:pPr>
    </w:p>
    <w:p>
      <w:pPr>
        <w:ind w:right="160" w:firstLine="948"/>
        <w:spacing w:after="0" w:line="261" w:lineRule="auto"/>
        <w:tabs>
          <w:tab w:leader="none" w:pos="120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80" w:firstLine="987"/>
        <w:spacing w:after="0" w:line="258"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75" w:lineRule="exact"/>
        <w:rPr>
          <w:rFonts w:ascii="Times New Roman" w:cs="Times New Roman" w:eastAsia="Times New Roman" w:hAnsi="Times New Roman"/>
          <w:sz w:val="18"/>
          <w:szCs w:val="18"/>
          <w:color w:val="auto"/>
        </w:rPr>
      </w:pPr>
    </w:p>
    <w:p>
      <w:pPr>
        <w:ind w:left="-440" w:right="20" w:firstLine="987"/>
        <w:spacing w:after="0" w:line="266" w:lineRule="auto"/>
        <w:tabs>
          <w:tab w:leader="none" w:pos="8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67" w:lineRule="exact"/>
        <w:rPr>
          <w:rFonts w:ascii="Times New Roman" w:cs="Times New Roman" w:eastAsia="Times New Roman" w:hAnsi="Times New Roman"/>
          <w:sz w:val="18"/>
          <w:szCs w:val="18"/>
          <w:color w:val="auto"/>
        </w:rPr>
      </w:pPr>
    </w:p>
    <w:p>
      <w:pPr>
        <w:ind w:left="-440" w:right="120" w:firstLine="987"/>
        <w:spacing w:after="0" w:line="282"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53" w:lineRule="exact"/>
        <w:rPr>
          <w:rFonts w:ascii="Times New Roman" w:cs="Times New Roman" w:eastAsia="Times New Roman" w:hAnsi="Times New Roman"/>
          <w:sz w:val="18"/>
          <w:szCs w:val="18"/>
          <w:color w:val="auto"/>
        </w:rPr>
      </w:pPr>
    </w:p>
    <w:p>
      <w:pPr>
        <w:ind w:left="-440" w:firstLine="987"/>
        <w:spacing w:after="0" w:line="289" w:lineRule="auto"/>
        <w:tabs>
          <w:tab w:leader="none" w:pos="80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49" w:lineRule="exact"/>
        <w:rPr>
          <w:rFonts w:ascii="Times New Roman" w:cs="Times New Roman" w:eastAsia="Times New Roman" w:hAnsi="Times New Roman"/>
          <w:sz w:val="17"/>
          <w:szCs w:val="17"/>
          <w:color w:val="auto"/>
        </w:rPr>
      </w:pPr>
    </w:p>
    <w:p>
      <w:pPr>
        <w:ind w:left="-440" w:right="380" w:firstLine="987"/>
        <w:spacing w:after="0" w:line="282"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left="-440" w:right="200" w:firstLine="987"/>
        <w:spacing w:after="0" w:line="261" w:lineRule="auto"/>
        <w:tabs>
          <w:tab w:leader="none" w:pos="7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within a reasonable time to</w:t>
      </w:r>
    </w:p>
    <w:p>
      <w:pPr>
        <w:sectPr>
          <w:pgSz w:w="11900" w:h="16838" w:orient="portrait"/>
          <w:cols w:equalWidth="0" w:num="1">
            <w:col w:w="10520"/>
          </w:cols>
          <w:pgMar w:left="880" w:top="270" w:right="499" w:bottom="1440" w:gutter="0" w:footer="0" w:header="0"/>
        </w:sectPr>
      </w:pPr>
    </w:p>
    <w:bookmarkStart w:id="59" w:name="page60"/>
    <w:bookmarkEnd w:id="59"/>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72" w:lineRule="exact"/>
        <w:rPr>
          <w:sz w:val="20"/>
          <w:szCs w:val="20"/>
          <w:color w:val="auto"/>
        </w:rPr>
      </w:pPr>
    </w:p>
    <w:p>
      <w:pPr>
        <w:jc w:val="both"/>
        <w:ind w:right="100" w:firstLine="987"/>
        <w:spacing w:after="0" w:line="266"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color w:val="auto"/>
        </w:rPr>
      </w:pPr>
    </w:p>
    <w:p>
      <w:pPr>
        <w:ind w:right="260" w:firstLine="987"/>
        <w:spacing w:after="0" w:line="266" w:lineRule="auto"/>
        <w:tabs>
          <w:tab w:leader="none" w:pos="12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r>
        <w:rPr>
          <w:rFonts w:ascii="Times New Roman" w:cs="Times New Roman" w:eastAsia="Times New Roman" w:hAnsi="Times New Roman"/>
          <w:sz w:val="18"/>
          <w:szCs w:val="18"/>
          <w:u w:val="single" w:color="auto"/>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11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Trustee Not Responsible for Recitals or Issuance or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20" w:firstLine="987"/>
        <w:spacing w:after="0" w:line="282"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117" w:lineRule="exact"/>
        <w:rPr>
          <w:rFonts w:ascii="Times New Roman" w:cs="Times New Roman" w:eastAsia="Times New Roman" w:hAnsi="Times New Roman"/>
          <w:sz w:val="18"/>
          <w:szCs w:val="18"/>
          <w:color w:val="auto"/>
        </w:rPr>
      </w:pPr>
    </w:p>
    <w:p>
      <w:pPr>
        <w:ind w:right="44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or for the use or application of any moneys received by any paying agent other than the Trustee.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ectPr>
          <w:pgSz w:w="11900" w:h="16838" w:orient="portrait"/>
          <w:cols w:equalWidth="0" w:num="1">
            <w:col w:w="11000"/>
          </w:cols>
          <w:pgMar w:left="440" w:top="270" w:right="4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8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71" w:lineRule="exact"/>
        <w:rPr>
          <w:rFonts w:ascii="Times New Roman" w:cs="Times New Roman" w:eastAsia="Times New Roman" w:hAnsi="Times New Roman"/>
          <w:sz w:val="18"/>
          <w:szCs w:val="18"/>
          <w:color w:val="auto"/>
        </w:rPr>
      </w:pPr>
    </w:p>
    <w:p>
      <w:pPr>
        <w:ind w:right="160" w:firstLine="987"/>
        <w:spacing w:after="0" w:line="25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 w:cs="Times New Roman" w:eastAsia="Times New Roman" w:hAnsi="Times New Roman"/>
          <w:sz w:val="18"/>
          <w:szCs w:val="18"/>
          <w:u w:val="single" w:color="auto"/>
          <w:color w:val="auto"/>
        </w:rPr>
        <w:t>Section 6.01(a)(4)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survive the termination of this Indenture and the earlier resignation or removal of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Reliance on Officer’s Certificate or Opinion of Counsel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ectPr>
          <w:pgSz w:w="11900" w:h="16838" w:orient="portrait"/>
          <w:cols w:equalWidth="0" w:num="1">
            <w:col w:w="11000"/>
          </w:cols>
          <w:pgMar w:left="440" w:top="270" w:right="45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8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in accordance with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7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5" w:lineRule="exact"/>
        <w:rPr>
          <w:sz w:val="20"/>
          <w:szCs w:val="20"/>
          <w:color w:val="auto"/>
        </w:rPr>
      </w:pPr>
    </w:p>
    <w:p>
      <w:pPr>
        <w:ind w:firstLine="987"/>
        <w:spacing w:after="0" w:line="266"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ectPr>
          <w:pgSz w:w="11900" w:h="16838" w:orient="portrait"/>
          <w:cols w:equalWidth="0" w:num="1">
            <w:col w:w="11000"/>
          </w:cols>
          <w:pgMar w:left="440" w:top="270" w:right="459" w:bottom="1440" w:gutter="0" w:footer="0" w:header="0"/>
        </w:sectPr>
      </w:pPr>
    </w:p>
    <w:bookmarkStart w:id="62" w:name="page63"/>
    <w:bookmarkEnd w:id="62"/>
    <w:p>
      <w:pPr>
        <w:ind w:left="-440" w:right="160" w:firstLine="987"/>
        <w:spacing w:after="0" w:line="282" w:lineRule="auto"/>
        <w:tabs>
          <w:tab w:leader="none" w:pos="8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987"/>
        <w:spacing w:after="0" w:line="282" w:lineRule="auto"/>
        <w:tabs>
          <w:tab w:leader="none" w:pos="7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987"/>
        <w:spacing w:after="0" w:line="255" w:lineRule="auto"/>
        <w:tabs>
          <w:tab w:leader="none" w:pos="7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0" w:lineRule="exact"/>
        <w:rPr>
          <w:rFonts w:ascii="Times New Roman" w:cs="Times New Roman" w:eastAsia="Times New Roman" w:hAnsi="Times New Roman"/>
          <w:sz w:val="18"/>
          <w:szCs w:val="18"/>
          <w:color w:val="auto"/>
        </w:rPr>
      </w:pPr>
    </w:p>
    <w:p>
      <w:pPr>
        <w:ind w:left="-440" w:right="100" w:firstLine="987"/>
        <w:spacing w:after="0" w:line="252" w:lineRule="auto"/>
        <w:tabs>
          <w:tab w:leader="none" w:pos="8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2" w:lineRule="exact"/>
        <w:rPr>
          <w:rFonts w:ascii="Times New Roman" w:cs="Times New Roman" w:eastAsia="Times New Roman" w:hAnsi="Times New Roman"/>
          <w:sz w:val="18"/>
          <w:szCs w:val="18"/>
          <w:color w:val="auto"/>
        </w:rPr>
      </w:pPr>
    </w:p>
    <w:p>
      <w:pPr>
        <w:ind w:left="-440" w:right="140" w:firstLine="987"/>
        <w:spacing w:after="0" w:line="282" w:lineRule="auto"/>
        <w:tabs>
          <w:tab w:leader="none" w:pos="7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53" w:lineRule="exact"/>
        <w:rPr>
          <w:rFonts w:ascii="Times New Roman" w:cs="Times New Roman" w:eastAsia="Times New Roman" w:hAnsi="Times New Roman"/>
          <w:sz w:val="18"/>
          <w:szCs w:val="18"/>
          <w:color w:val="auto"/>
        </w:rPr>
      </w:pPr>
    </w:p>
    <w:p>
      <w:pPr>
        <w:ind w:left="-440" w:right="300" w:firstLine="987"/>
        <w:spacing w:after="0" w:line="282" w:lineRule="auto"/>
        <w:tabs>
          <w:tab w:leader="none" w:pos="8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53" w:lineRule="exact"/>
        <w:rPr>
          <w:rFonts w:ascii="Times New Roman" w:cs="Times New Roman" w:eastAsia="Times New Roman" w:hAnsi="Times New Roman"/>
          <w:sz w:val="18"/>
          <w:szCs w:val="18"/>
          <w:color w:val="auto"/>
        </w:rPr>
      </w:pPr>
    </w:p>
    <w:p>
      <w:pPr>
        <w:ind w:left="-440" w:firstLine="987"/>
        <w:spacing w:after="0" w:line="261" w:lineRule="auto"/>
        <w:tabs>
          <w:tab w:leader="none" w:pos="7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ectPr>
          <w:pgSz w:w="11900" w:h="16838" w:orient="portrait"/>
          <w:cols w:equalWidth="0" w:num="1">
            <w:col w:w="10560"/>
          </w:cols>
          <w:pgMar w:left="880" w:top="270"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shall be qualified under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eligible under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Whenever in this Indenture it 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ectPr>
          <w:pgSz w:w="11900" w:h="16838" w:orient="portrait"/>
          <w:cols w:equalWidth="0" w:num="1">
            <w:col w:w="11000"/>
          </w:cols>
          <w:pgMar w:left="440" w:top="270" w:right="45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right="360" w:firstLine="987"/>
        <w:spacing w:after="0" w:line="282"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interest on such Security and for all other purposes; and neither the Company nor the Trustee nor any paying agent nor any Security Registrar shall be affected by any notice to the contrary.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At any time prior to (but not after) the evidencing to the Trustee,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ectPr>
          <w:pgSz w:w="11900" w:h="16838" w:orient="portrait"/>
          <w:cols w:equalWidth="0" w:num="1">
            <w:col w:w="11000"/>
          </w:cols>
          <w:pgMar w:left="440" w:top="270" w:right="4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the Consent of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68" w:lineRule="exact"/>
        <w:rPr>
          <w:sz w:val="20"/>
          <w:szCs w:val="20"/>
          <w:color w:val="auto"/>
        </w:rPr>
      </w:pPr>
    </w:p>
    <w:p>
      <w:pPr>
        <w:ind w:left="1240" w:hanging="25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comply with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5"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issuance of and establish the form and terms and conditions of the Securities of any series as provided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73" w:lineRule="exact"/>
        <w:rPr>
          <w:sz w:val="20"/>
          <w:szCs w:val="20"/>
          <w:color w:val="auto"/>
        </w:rPr>
      </w:pPr>
    </w:p>
    <w:p>
      <w:pPr>
        <w:ind w:left="1240" w:hanging="253"/>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or to appoint a separate trustee with respect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any series; or</w:t>
      </w:r>
    </w:p>
    <w:p>
      <w:pPr>
        <w:spacing w:after="0" w:line="98" w:lineRule="exact"/>
        <w:rPr>
          <w:rFonts w:ascii="Times New Roman" w:cs="Times New Roman" w:eastAsia="Times New Roman" w:hAnsi="Times New Roman"/>
          <w:sz w:val="17"/>
          <w:szCs w:val="17"/>
          <w:color w:val="auto"/>
        </w:rPr>
      </w:pPr>
    </w:p>
    <w:p>
      <w:pPr>
        <w:ind w:right="220" w:firstLine="987"/>
        <w:spacing w:after="0" w:line="282" w:lineRule="auto"/>
        <w:tabs>
          <w:tab w:leader="none" w:pos="12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jc w:val="both"/>
        <w:ind w:right="620" w:firstLine="44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With the consent (evidenced as provided in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w:t>
      </w:r>
    </w:p>
    <w:p>
      <w:pPr>
        <w:sectPr>
          <w:pgSz w:w="11900" w:h="16838" w:orient="portrait"/>
          <w:cols w:equalWidth="0" w:num="1">
            <w:col w:w="11000"/>
          </w:cols>
          <w:pgMar w:left="440" w:top="266" w:right="459" w:bottom="1440" w:gutter="0" w:footer="0" w:header="0"/>
        </w:sectPr>
      </w:pPr>
    </w:p>
    <w:bookmarkStart w:id="66" w:name="page67"/>
    <w:bookmarkEnd w:id="66"/>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Trust Indenture Act as then in effect) for the purpose of adding any provisions to or changing in any manner or eliminating any of the provisions of this Indenture or of any supplemental indenture or of modifying in any manner not covered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rights of the holders of the Securities of such series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7"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any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Securities of any series affected by a supplemental indenture, authenticated and delivered after the execution of such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ectPr>
          <w:pgSz w:w="11900" w:h="16838" w:orient="portrait"/>
          <w:cols w:equalWidth="0" w:num="1">
            <w:col w:w="11000"/>
          </w:cols>
          <w:pgMar w:left="440" w:top="270" w:right="4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Company May Consolidate,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3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87"/>
        <w:spacing w:after="0" w:line="281" w:lineRule="auto"/>
        <w:tabs>
          <w:tab w:leader="none" w:pos="123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56" w:lineRule="exact"/>
        <w:rPr>
          <w:rFonts w:ascii="Times New Roman" w:cs="Times New Roman" w:eastAsia="Times New Roman" w:hAnsi="Times New Roman"/>
          <w:sz w:val="17"/>
          <w:szCs w:val="17"/>
          <w:color w:val="auto"/>
        </w:rPr>
      </w:pPr>
    </w:p>
    <w:p>
      <w:pPr>
        <w:ind w:right="18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ectPr>
          <w:pgSz w:w="11900" w:h="16838" w:orient="portrait"/>
          <w:cols w:equalWidth="0" w:num="1">
            <w:col w:w="10980"/>
          </w:cols>
          <w:pgMar w:left="440" w:top="266" w:right="479" w:bottom="1440" w:gutter="0" w:footer="0" w:header="0"/>
        </w:sectPr>
      </w:pPr>
    </w:p>
    <w:bookmarkStart w:id="68" w:name="page69"/>
    <w:bookmarkEnd w:id="6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11</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ind w:left="4" w:right="120" w:hanging="4"/>
        <w:spacing w:after="0" w:line="265" w:lineRule="auto"/>
        <w:tabs>
          <w:tab w:leader="none" w:pos="25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7.10</w:t>
      </w:r>
      <w:r>
        <w:rPr>
          <w:rFonts w:ascii="Times New Roman" w:cs="Times New Roman" w:eastAsia="Times New Roman" w:hAnsi="Times New Roman"/>
          <w:sz w:val="17"/>
          <w:szCs w:val="17"/>
          <w:color w:val="auto"/>
        </w:rPr>
        <w:t xml:space="preserve">, that shall survive until the date of maturity or redemption date, as the case may be, and </w:t>
      </w:r>
      <w:r>
        <w:rPr>
          <w:rFonts w:ascii="Times New Roman" w:cs="Times New Roman" w:eastAsia="Times New Roman" w:hAnsi="Times New Roman"/>
          <w:sz w:val="17"/>
          <w:szCs w:val="17"/>
          <w:u w:val="single" w:color="auto"/>
          <w:color w:val="auto"/>
        </w:rPr>
        <w:t>Sections</w:t>
      </w:r>
    </w:p>
    <w:p>
      <w:pPr>
        <w:spacing w:after="0" w:line="1" w:lineRule="exact"/>
        <w:rPr>
          <w:rFonts w:ascii="Times New Roman" w:cs="Times New Roman" w:eastAsia="Times New Roman" w:hAnsi="Times New Roman"/>
          <w:sz w:val="17"/>
          <w:szCs w:val="17"/>
          <w:color w:val="auto"/>
        </w:rPr>
      </w:pPr>
    </w:p>
    <w:p>
      <w:pPr>
        <w:ind w:left="4"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and 11.05,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-306705</wp:posOffset>
            </wp:positionV>
            <wp:extent cx="281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at any time all such Securities of a particular series not heretofore delivered to the Trustee for cancellation or that have not become due and payable as described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hereof that shall survive until such Securities shall mature and be paid.</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Thereafter,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11.05 shall survive.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-7620</wp:posOffset>
            </wp:positionV>
            <wp:extent cx="2813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281305"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Deposited Moneys to be Held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All moneys or Governmental Obligations deposited with the Trustee pursuant to </w:t>
      </w:r>
      <w:r>
        <w:rPr>
          <w:rFonts w:ascii="Times New Roman" w:cs="Times New Roman" w:eastAsia="Times New Roman" w:hAnsi="Times New Roman"/>
          <w:sz w:val="17"/>
          <w:szCs w:val="17"/>
          <w:u w:val="single" w:color="auto"/>
          <w:color w:val="auto"/>
        </w:rPr>
        <w:t>Sections 11.01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11.02</w:t>
      </w:r>
      <w:r>
        <w:rPr>
          <w:rFonts w:ascii="Times New Roman" w:cs="Times New Roman" w:eastAsia="Times New Roman" w:hAnsi="Times New Roman"/>
          <w:sz w:val="17"/>
          <w:szCs w:val="17"/>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w:t>
      </w:r>
    </w:p>
    <w:p>
      <w:pPr>
        <w:sectPr>
          <w:pgSz w:w="11900" w:h="16838" w:orient="portrait"/>
          <w:cols w:equalWidth="0" w:num="1">
            <w:col w:w="10964"/>
          </w:cols>
          <w:pgMar w:left="436" w:top="266" w:right="499" w:bottom="1440" w:gutter="0" w:footer="0" w:header="0"/>
        </w:sectPr>
      </w:pPr>
    </w:p>
    <w:bookmarkStart w:id="69" w:name="page70"/>
    <w:bookmarkEnd w:id="69"/>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DIRECTORS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w:t>
      </w:r>
    </w:p>
    <w:p>
      <w:pPr>
        <w:spacing w:after="0" w:line="2"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filed in writing by the Company with the Trustee), as follows: [</w:t>
      </w:r>
      <w:r>
        <w:rPr>
          <w:sz w:val="20"/>
          <w:szCs w:val="20"/>
          <w:color w:val="auto"/>
        </w:rPr>
        <w:tab/>
      </w:r>
      <w:r>
        <w:rPr>
          <w:rFonts w:ascii="Times New Roman" w:cs="Times New Roman" w:eastAsia="Times New Roman" w:hAnsi="Times New Roman"/>
          <w:sz w:val="17"/>
          <w:szCs w:val="17"/>
          <w:color w:val="auto"/>
        </w:rPr>
        <w:t>]. Any notice, election, request or</w:t>
      </w:r>
    </w:p>
    <w:p>
      <w:pPr>
        <w:sectPr>
          <w:pgSz w:w="11900" w:h="16838" w:orient="portrait"/>
          <w:cols w:equalWidth="0" w:num="1">
            <w:col w:w="11000"/>
          </w:cols>
          <w:pgMar w:left="440" w:top="270" w:right="459" w:bottom="1440" w:gutter="0" w:footer="0" w:header="0"/>
        </w:sectPr>
      </w:pPr>
    </w:p>
    <w:bookmarkStart w:id="70" w:name="page71"/>
    <w:bookmarkEnd w:id="7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Governing Law; Jury Trial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87"/>
        <w:spacing w:after="0" w:line="261"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relating to the proposed action have been complied with and an Opinion of Counsel stating that in the opinion of such counsel all such covenants and conditions precedent have been complied with.</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ectPr>
          <w:pgSz w:w="11900" w:h="16838" w:orient="portrait"/>
          <w:cols w:equalWidth="0" w:num="1">
            <w:col w:w="11000"/>
          </w:cols>
          <w:pgMar w:left="440" w:top="270"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Indenture to be duly executed all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AQUABOUNTY TECHNOLOGIES, INC.</w:t>
      </w:r>
      <w:r>
        <w:rPr>
          <w:rFonts w:ascii="Times New Roman" w:cs="Times New Roman" w:eastAsia="Times New Roman" w:hAnsi="Times New Roman"/>
          <w:sz w:val="17"/>
          <w:szCs w:val="17"/>
          <w:color w:val="auto"/>
        </w:rPr>
        <w:t>, as Issuer</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Form of Indenture</w:t>
      </w:r>
    </w:p>
    <w:p>
      <w:pPr>
        <w:sectPr>
          <w:pgSz w:w="11900" w:h="16838" w:orient="portrait"/>
          <w:cols w:equalWidth="0" w:num="1">
            <w:col w:w="10160"/>
          </w:cols>
          <w:pgMar w:left="880" w:top="266" w:right="859" w:bottom="1440" w:gutter="0" w:footer="0" w:header="0"/>
        </w:sectPr>
      </w:pPr>
    </w:p>
    <w:bookmarkStart w:id="73" w:name="page74"/>
    <w:bookmarkEnd w:id="7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 INDENTURE ACT CROSS-REFERENCE TABLE</w:t>
      </w:r>
      <w:r>
        <w:rPr>
          <w:rFonts w:ascii="Times New Roman" w:cs="Times New Roman" w:eastAsia="Times New Roman" w:hAnsi="Times New Roman"/>
          <w:sz w:val="15"/>
          <w:szCs w:val="15"/>
          <w:b w:val="1"/>
          <w:bCs w:val="1"/>
          <w:color w:val="auto"/>
        </w:rPr>
        <w:t>2</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6600" w:type="dxa"/>
            <w:vAlign w:val="bottom"/>
          </w:tcPr>
          <w:p>
            <w:pPr>
              <w:spacing w:after="0"/>
              <w:rPr>
                <w:sz w:val="16"/>
                <w:szCs w:val="16"/>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85"/>
        </w:trPr>
        <w:tc>
          <w:tcPr>
            <w:tcW w:w="31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310(a)</w:t>
            </w:r>
          </w:p>
        </w:tc>
        <w:tc>
          <w:tcPr>
            <w:tcW w:w="6600" w:type="dxa"/>
            <w:vAlign w:val="bottom"/>
          </w:tcPr>
          <w:p>
            <w:pPr>
              <w:spacing w:after="0"/>
              <w:rPr>
                <w:sz w:val="16"/>
                <w:szCs w:val="16"/>
                <w:color w:val="auto"/>
              </w:rPr>
            </w:pPr>
          </w:p>
        </w:tc>
        <w:tc>
          <w:tcPr>
            <w:tcW w:w="12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3160" w:type="dxa"/>
            <w:vAlign w:val="bottom"/>
          </w:tcPr>
          <w:p>
            <w:pPr>
              <w:spacing w:after="0"/>
              <w:rPr>
                <w:sz w:val="19"/>
                <w:szCs w:val="19"/>
                <w:color w:val="auto"/>
              </w:rPr>
            </w:pP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3160" w:type="dxa"/>
            <w:vAlign w:val="bottom"/>
          </w:tcPr>
          <w:p>
            <w:pPr>
              <w:spacing w:after="0"/>
              <w:rPr>
                <w:sz w:val="19"/>
                <w:szCs w:val="19"/>
                <w:color w:val="auto"/>
              </w:rPr>
            </w:pP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5.04(a)</w:t>
            </w:r>
          </w:p>
        </w:tc>
      </w:tr>
      <w:tr>
        <w:trPr>
          <w:trHeight w:val="229"/>
        </w:trPr>
        <w:tc>
          <w:tcPr>
            <w:tcW w:w="3160" w:type="dxa"/>
            <w:vAlign w:val="bottom"/>
          </w:tcPr>
          <w:p>
            <w:pPr>
              <w:spacing w:after="0"/>
              <w:rPr>
                <w:sz w:val="19"/>
                <w:szCs w:val="19"/>
                <w:color w:val="auto"/>
              </w:rPr>
            </w:pP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3160" w:type="dxa"/>
            <w:vAlign w:val="bottom"/>
          </w:tcPr>
          <w:p>
            <w:pPr>
              <w:spacing w:after="0"/>
              <w:rPr>
                <w:sz w:val="19"/>
                <w:szCs w:val="19"/>
                <w:color w:val="auto"/>
              </w:rPr>
            </w:pP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7.01(a)</w:t>
            </w:r>
          </w:p>
        </w:tc>
      </w:tr>
      <w:tr>
        <w:trPr>
          <w:trHeight w:val="229"/>
        </w:trPr>
        <w:tc>
          <w:tcPr>
            <w:tcW w:w="3160" w:type="dxa"/>
            <w:vAlign w:val="bottom"/>
          </w:tcPr>
          <w:p>
            <w:pPr>
              <w:spacing w:after="0"/>
              <w:rPr>
                <w:sz w:val="19"/>
                <w:szCs w:val="19"/>
                <w:color w:val="auto"/>
              </w:rPr>
            </w:pP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3160" w:type="dxa"/>
            <w:vAlign w:val="bottom"/>
          </w:tcPr>
          <w:p>
            <w:pPr>
              <w:spacing w:after="0"/>
              <w:rPr>
                <w:sz w:val="19"/>
                <w:szCs w:val="19"/>
                <w:color w:val="auto"/>
              </w:rPr>
            </w:pP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860" w:type="dxa"/>
            <w:vAlign w:val="bottom"/>
            <w:gridSpan w:val="2"/>
          </w:tcPr>
          <w:p>
            <w:pPr>
              <w:ind w:left="660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80" w:hanging="424"/>
        <w:spacing w:after="0" w:line="282" w:lineRule="auto"/>
        <w:tabs>
          <w:tab w:leader="none" w:pos="424"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66" w:right="4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AQUABOUNTY TECHNOLOGIES, INC.,</w:t>
      </w:r>
    </w:p>
    <w:p>
      <w:pPr>
        <w:spacing w:after="0" w:line="23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 202[●</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75" w:name="page76"/>
    <w:bookmarkEnd w:id="7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r>
        <w:rPr>
          <w:rFonts w:ascii="Times New Roman" w:cs="Times New Roman" w:eastAsia="Times New Roman" w:hAnsi="Times New Roman"/>
          <w:sz w:val="15"/>
          <w:szCs w:val="15"/>
          <w:b w:val="1"/>
          <w:bCs w:val="1"/>
          <w:color w:val="auto"/>
        </w:rPr>
        <w:t>1</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1 </w:t>
      </w:r>
      <w:r>
        <w:rPr>
          <w:rFonts w:ascii="Times New Roman" w:cs="Times New Roman" w:eastAsia="Times New Roman" w:hAnsi="Times New Roman"/>
          <w:sz w:val="18"/>
          <w:szCs w:val="18"/>
          <w:color w:val="auto"/>
        </w:rPr>
        <w:t>DEFINITIONS</w:t>
      </w:r>
    </w:p>
    <w:p>
      <w:pPr>
        <w:spacing w:after="0" w:line="31"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color w:val="auto"/>
        </w:rPr>
        <w:t>Definitions of Terms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2 </w:t>
      </w:r>
      <w:r>
        <w:rPr>
          <w:rFonts w:ascii="Times New Roman" w:cs="Times New Roman" w:eastAsia="Times New Roman" w:hAnsi="Times New Roman"/>
          <w:sz w:val="18"/>
          <w:szCs w:val="18"/>
          <w:color w:val="auto"/>
        </w:rPr>
        <w:t>ISSUE, DESCRIPTION, TERMS, EXECUTION, REGISTRATION AND EXCHANGE OF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w:t>
      </w:r>
      <w:r>
        <w:rPr>
          <w:sz w:val="20"/>
          <w:szCs w:val="20"/>
          <w:color w:val="auto"/>
        </w:rPr>
        <w:tab/>
      </w:r>
      <w:r>
        <w:rPr>
          <w:rFonts w:ascii="Times New Roman" w:cs="Times New Roman" w:eastAsia="Times New Roman" w:hAnsi="Times New Roman"/>
          <w:sz w:val="17"/>
          <w:szCs w:val="17"/>
          <w:color w:val="auto"/>
        </w:rPr>
        <w:t>Designation and Terms of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color w:val="auto"/>
        </w:rPr>
        <w:t>Form of Securities and Trustee’s Certificate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color w:val="auto"/>
        </w:rPr>
        <w:t>Denominations: Provisions for Payment</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color w:val="auto"/>
        </w:rPr>
        <w:t>Execution and Authentications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color w:val="auto"/>
        </w:rPr>
        <w:t>Registration of Transfer and Exchange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color w:val="auto"/>
        </w:rPr>
        <w:t>Temporary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color w:val="auto"/>
        </w:rPr>
        <w:t>Mutilated, Destroyed, Lost or Stolen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color w:val="auto"/>
        </w:rPr>
        <w:t>Cancellation</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color w:val="auto"/>
        </w:rPr>
        <w:t>Benefits of Indenture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8"/>
          <w:szCs w:val="18"/>
          <w:color w:val="auto"/>
        </w:rPr>
        <w:t>Authenticating Agent</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color w:val="auto"/>
        </w:rPr>
        <w:t>Global Securities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3 </w:t>
      </w:r>
      <w:r>
        <w:rPr>
          <w:rFonts w:ascii="Times New Roman" w:cs="Times New Roman" w:eastAsia="Times New Roman" w:hAnsi="Times New Roman"/>
          <w:sz w:val="18"/>
          <w:szCs w:val="18"/>
          <w:color w:val="auto"/>
        </w:rPr>
        <w:t>REDEMPTION OF SECURITIES AND SINKING FUND PROVISIONS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3.0</w:t>
      </w:r>
      <w:r>
        <w:rPr>
          <w:sz w:val="20"/>
          <w:szCs w:val="20"/>
          <w:color w:val="auto"/>
        </w:rPr>
        <w:tab/>
      </w:r>
      <w:r>
        <w:rPr>
          <w:rFonts w:ascii="Times New Roman" w:cs="Times New Roman" w:eastAsia="Times New Roman" w:hAnsi="Times New Roman"/>
          <w:sz w:val="17"/>
          <w:szCs w:val="17"/>
          <w:color w:val="auto"/>
        </w:rPr>
        <w:t>Redemption</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color w:val="auto"/>
        </w:rPr>
        <w:t>Notice of Redemption</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color w:val="auto"/>
        </w:rPr>
        <w:t>Payment Upon Redemption</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color w:val="auto"/>
        </w:rPr>
        <w:t>Sinking Fund</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color w:val="auto"/>
        </w:rPr>
        <w:t>Satisfaction of Sinking Fund Payments with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color w:val="auto"/>
        </w:rPr>
        <w:t>Redemption of Securities for Sinking Fund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4 </w:t>
      </w:r>
      <w:r>
        <w:rPr>
          <w:rFonts w:ascii="Times New Roman" w:cs="Times New Roman" w:eastAsia="Times New Roman" w:hAnsi="Times New Roman"/>
          <w:sz w:val="18"/>
          <w:szCs w:val="18"/>
          <w:color w:val="auto"/>
        </w:rPr>
        <w:t>COVENANTS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color w:val="auto"/>
        </w:rPr>
        <w:t>Payment of Principal, Premium and Interest</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color w:val="auto"/>
        </w:rPr>
        <w:t>Maintenance of Office or Agency</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color w:val="auto"/>
        </w:rPr>
        <w:t>Paying Agents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color w:val="auto"/>
        </w:rPr>
        <w:t>Appointment to Fill Vacancy in Office of Trustee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8"/>
          <w:szCs w:val="18"/>
          <w:color w:val="auto"/>
        </w:rPr>
        <w:t>Compliance with Consolidation Provisions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5 </w:t>
      </w:r>
      <w:r>
        <w:rPr>
          <w:rFonts w:ascii="Times New Roman" w:cs="Times New Roman" w:eastAsia="Times New Roman" w:hAnsi="Times New Roman"/>
          <w:sz w:val="18"/>
          <w:szCs w:val="18"/>
          <w:color w:val="auto"/>
        </w:rPr>
        <w:t>SECURITYHOLDERS’ LISTS AND REPORTS BY THE COMPANY AND THE TRUSTEE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color w:val="auto"/>
        </w:rPr>
        <w:t>Company to Furnish Trustee Names and Addresses of Securityholders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color w:val="auto"/>
        </w:rPr>
        <w:t>Preservation Of Information; Communications With Securityholders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color w:val="auto"/>
        </w:rPr>
        <w:t>Reports by the Company</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5.04</w:t>
      </w:r>
      <w:r>
        <w:rPr>
          <w:sz w:val="20"/>
          <w:szCs w:val="20"/>
          <w:color w:val="auto"/>
        </w:rPr>
        <w:tab/>
      </w:r>
      <w:r>
        <w:rPr>
          <w:rFonts w:ascii="Times New Roman" w:cs="Times New Roman" w:eastAsia="Times New Roman" w:hAnsi="Times New Roman"/>
          <w:sz w:val="17"/>
          <w:szCs w:val="17"/>
          <w:color w:val="auto"/>
        </w:rPr>
        <w:t>Reports by the Trustee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6 </w:t>
      </w:r>
      <w:r>
        <w:rPr>
          <w:rFonts w:ascii="Times New Roman" w:cs="Times New Roman" w:eastAsia="Times New Roman" w:hAnsi="Times New Roman"/>
          <w:sz w:val="18"/>
          <w:szCs w:val="18"/>
          <w:color w:val="auto"/>
        </w:rPr>
        <w:t>REMEDIES OF THE TRUSTEE AND SECURITYHOLDERS ON EVENT OF DEFAULT</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color w:val="auto"/>
        </w:rPr>
        <w:t>Events of Default</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color w:val="auto"/>
        </w:rPr>
        <w:t>Collection of Indebtedness and Suits for Enforcement by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0" w:lineRule="exact"/>
        <w:rPr>
          <w:sz w:val="20"/>
          <w:szCs w:val="20"/>
          <w:color w:val="auto"/>
        </w:rPr>
      </w:pPr>
    </w:p>
    <w:p>
      <w:pPr>
        <w:ind w:left="324" w:hanging="324"/>
        <w:spacing w:after="0"/>
        <w:tabs>
          <w:tab w:leader="none" w:pos="32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This Table of Contents does not constitute part of the Indenture and shall not have any bearing on the interpretation of any of its terms or provisions.</w:t>
      </w:r>
    </w:p>
    <w:p>
      <w:pPr>
        <w:spacing w:after="0" w:line="237"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color w:val="auto"/>
        </w:rPr>
        <w:t>Application of Moneys Collected</w:t>
      </w:r>
    </w:p>
    <w:p>
      <w:pPr>
        <w:spacing w:after="0" w:line="27"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color w:val="auto"/>
        </w:rPr>
        <w:t>Limitation on Suits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color w:val="auto"/>
        </w:rPr>
        <w:t>Rights and Remedies Cumulative; Delay or Omission Not Waiver</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color w:val="auto"/>
        </w:rPr>
        <w:t>Control by Securityholders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color w:val="auto"/>
        </w:rPr>
        <w:t>Undertaking to Pay Costs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ARTICLE 7 </w:t>
      </w:r>
      <w:r>
        <w:rPr>
          <w:rFonts w:ascii="Times New Roman" w:cs="Times New Roman" w:eastAsia="Times New Roman" w:hAnsi="Times New Roman"/>
          <w:sz w:val="18"/>
          <w:szCs w:val="18"/>
          <w:color w:val="auto"/>
        </w:rPr>
        <w:t>CONCERNING THE TRUSTEE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color w:val="auto"/>
        </w:rPr>
        <w:t>Certain Duties and Responsibilities of Trustee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color w:val="auto"/>
        </w:rPr>
        <w:t>Certain Rights of Trustee</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color w:val="auto"/>
        </w:rPr>
        <w:t>Trustee Not Responsible for Recitals or Issuance or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color w:val="auto"/>
        </w:rPr>
        <w:t>May Hold Securities</w:t>
      </w:r>
    </w:p>
    <w:p>
      <w:pPr>
        <w:spacing w:after="0" w:line="9" w:lineRule="exact"/>
        <w:rPr>
          <w:sz w:val="20"/>
          <w:szCs w:val="20"/>
          <w:color w:val="auto"/>
        </w:rPr>
      </w:pPr>
    </w:p>
    <w:p>
      <w:pPr>
        <w:ind w:left="364"/>
        <w:spacing w:after="0"/>
        <w:tabs>
          <w:tab w:leader="none" w:pos="1704"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color w:val="auto"/>
        </w:rPr>
        <w:t>Moneys Held in Trust</w:t>
      </w:r>
    </w:p>
    <w:p>
      <w:pPr>
        <w:sectPr>
          <w:pgSz w:w="11900" w:h="16838" w:orient="portrait"/>
          <w:cols w:equalWidth="0" w:num="1">
            <w:col w:w="11004"/>
          </w:cols>
          <w:pgMar w:left="436" w:top="266" w:right="459" w:bottom="1440" w:gutter="0" w:footer="0" w:header="0"/>
        </w:sectPr>
      </w:pPr>
    </w:p>
    <w:bookmarkStart w:id="76" w:name="page77"/>
    <w:bookmarkEnd w:id="76"/>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7.06</w:t>
      </w:r>
      <w:r>
        <w:rPr>
          <w:sz w:val="20"/>
          <w:szCs w:val="20"/>
          <w:color w:val="auto"/>
        </w:rPr>
        <w:tab/>
      </w:r>
      <w:r>
        <w:rPr>
          <w:rFonts w:ascii="Times New Roman" w:cs="Times New Roman" w:eastAsia="Times New Roman" w:hAnsi="Times New Roman"/>
          <w:sz w:val="17"/>
          <w:szCs w:val="17"/>
          <w:color w:val="auto"/>
        </w:rPr>
        <w:t>Compensation and Reimbursement</w:t>
      </w:r>
    </w:p>
    <w:p>
      <w:pPr>
        <w:spacing w:after="0" w:line="27"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7"/>
          <w:szCs w:val="17"/>
          <w:color w:val="auto"/>
        </w:rPr>
        <w:t>Reliance on Officer’s Certificate or Opinion of Counsel</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color w:val="auto"/>
        </w:rPr>
        <w:t>Disqualification; Conflicting Interests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color w:val="auto"/>
        </w:rPr>
        <w:t>Corporate Trustee Required; Eligibility</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color w:val="auto"/>
        </w:rPr>
        <w:t>Resignation and Removal; Appointment of Successor</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color w:val="auto"/>
        </w:rPr>
        <w:t>Acceptance of Appointment By Successor</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color w:val="auto"/>
        </w:rPr>
        <w:t>Merger, Conversion, Consolidation or Succession to Business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color w:val="auto"/>
        </w:rPr>
        <w:t>Preferential Collection of Claims Against the Company</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7.14</w:t>
      </w:r>
      <w:r>
        <w:rPr>
          <w:sz w:val="20"/>
          <w:szCs w:val="20"/>
          <w:color w:val="auto"/>
        </w:rPr>
        <w:tab/>
      </w:r>
      <w:r>
        <w:rPr>
          <w:rFonts w:ascii="Times New Roman" w:cs="Times New Roman" w:eastAsia="Times New Roman" w:hAnsi="Times New Roman"/>
          <w:sz w:val="17"/>
          <w:szCs w:val="17"/>
          <w:color w:val="auto"/>
        </w:rPr>
        <w:t>Notice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8 </w:t>
      </w:r>
      <w:r>
        <w:rPr>
          <w:rFonts w:ascii="Times New Roman" w:cs="Times New Roman" w:eastAsia="Times New Roman" w:hAnsi="Times New Roman"/>
          <w:sz w:val="18"/>
          <w:szCs w:val="18"/>
          <w:color w:val="auto"/>
        </w:rPr>
        <w:t>CONCERNING THE SECURITYHOLDERS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color w:val="auto"/>
        </w:rPr>
        <w:t>Evidence of Action by Securityholders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color w:val="auto"/>
        </w:rPr>
        <w:t>Proof of Execution by Securityholders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color w:val="auto"/>
        </w:rPr>
        <w:t>Who May be Deemed Owners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color w:val="auto"/>
        </w:rPr>
        <w:t>Certain Securities Owned by Company Disregarded</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color w:val="auto"/>
        </w:rPr>
        <w:t>Actions Binding on Future Securityholders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9 </w:t>
      </w:r>
      <w:r>
        <w:rPr>
          <w:rFonts w:ascii="Times New Roman" w:cs="Times New Roman" w:eastAsia="Times New Roman" w:hAnsi="Times New Roman"/>
          <w:sz w:val="18"/>
          <w:szCs w:val="18"/>
          <w:color w:val="auto"/>
        </w:rPr>
        <w:t>SUPPLEMENTAL INDENTURES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color w:val="auto"/>
        </w:rPr>
        <w:t>Supplemental Indentures Without the Consent of Securityholders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color w:val="auto"/>
        </w:rPr>
        <w:t>Supplemental Indentures With Consent of Securityholders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color w:val="auto"/>
        </w:rPr>
        <w:t>Effect of Supplemental Indentures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color w:val="auto"/>
        </w:rPr>
        <w:t>Securities Affected by Supplemental Indentures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color w:val="auto"/>
        </w:rPr>
        <w:t>Execution of Supplemental Indentures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10 </w:t>
      </w:r>
      <w:r>
        <w:rPr>
          <w:rFonts w:ascii="Times New Roman" w:cs="Times New Roman" w:eastAsia="Times New Roman" w:hAnsi="Times New Roman"/>
          <w:sz w:val="18"/>
          <w:szCs w:val="18"/>
          <w:color w:val="auto"/>
        </w:rPr>
        <w:t>SUCCESSOR ENTITY</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color w:val="auto"/>
        </w:rPr>
        <w:t>Company May Consolidate, Etc</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color w:val="auto"/>
        </w:rPr>
        <w:t>Successor Entity Substituted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11 </w:t>
      </w:r>
      <w:r>
        <w:rPr>
          <w:rFonts w:ascii="Times New Roman" w:cs="Times New Roman" w:eastAsia="Times New Roman" w:hAnsi="Times New Roman"/>
          <w:sz w:val="18"/>
          <w:szCs w:val="18"/>
          <w:color w:val="auto"/>
        </w:rPr>
        <w:t>SATISFACTION AND DISCHARGE</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8"/>
          <w:szCs w:val="18"/>
          <w:color w:val="auto"/>
        </w:rPr>
        <w:t>Satisfaction and Discharge of Indenture</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color w:val="auto"/>
        </w:rPr>
        <w:t>Discharge of Obligations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11.03</w:t>
      </w:r>
      <w:r>
        <w:rPr>
          <w:sz w:val="20"/>
          <w:szCs w:val="20"/>
          <w:color w:val="auto"/>
        </w:rPr>
        <w:tab/>
      </w:r>
      <w:r>
        <w:rPr>
          <w:rFonts w:ascii="Times New Roman" w:cs="Times New Roman" w:eastAsia="Times New Roman" w:hAnsi="Times New Roman"/>
          <w:sz w:val="17"/>
          <w:szCs w:val="17"/>
          <w:color w:val="auto"/>
        </w:rPr>
        <w:t>Deposited Moneys to be Held in Trust</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11.04</w:t>
      </w:r>
      <w:r>
        <w:rPr>
          <w:sz w:val="20"/>
          <w:szCs w:val="20"/>
          <w:color w:val="auto"/>
        </w:rPr>
        <w:tab/>
      </w:r>
      <w:r>
        <w:rPr>
          <w:rFonts w:ascii="Times New Roman" w:cs="Times New Roman" w:eastAsia="Times New Roman" w:hAnsi="Times New Roman"/>
          <w:sz w:val="17"/>
          <w:szCs w:val="17"/>
          <w:color w:val="auto"/>
        </w:rPr>
        <w:t>Payment of Moneys Held by Paying Agents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7"/>
          <w:szCs w:val="17"/>
          <w:color w:val="auto"/>
        </w:rPr>
        <w:t>Repayment to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ARTICLE 12 </w:t>
      </w:r>
      <w:r>
        <w:rPr>
          <w:rFonts w:ascii="Times New Roman" w:cs="Times New Roman" w:eastAsia="Times New Roman" w:hAnsi="Times New Roman"/>
          <w:sz w:val="17"/>
          <w:szCs w:val="17"/>
          <w:color w:val="auto"/>
        </w:rPr>
        <w:t>IMMUNITY OF INCORPORATORS, STOCKHOLDERS, OFFICERS AND DIRECTORS</w:t>
      </w:r>
    </w:p>
    <w:p>
      <w:pPr>
        <w:spacing w:after="0" w:line="43"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12.01</w:t>
      </w:r>
      <w:r>
        <w:rPr>
          <w:sz w:val="20"/>
          <w:szCs w:val="20"/>
          <w:color w:val="auto"/>
        </w:rPr>
        <w:tab/>
      </w:r>
      <w:r>
        <w:rPr>
          <w:rFonts w:ascii="Times New Roman" w:cs="Times New Roman" w:eastAsia="Times New Roman" w:hAnsi="Times New Roman"/>
          <w:sz w:val="18"/>
          <w:szCs w:val="18"/>
          <w:color w:val="auto"/>
        </w:rPr>
        <w:t>No Recourse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ARTICLE 13 </w:t>
      </w:r>
      <w:r>
        <w:rPr>
          <w:rFonts w:ascii="Times New Roman" w:cs="Times New Roman" w:eastAsia="Times New Roman" w:hAnsi="Times New Roman"/>
          <w:sz w:val="18"/>
          <w:szCs w:val="18"/>
          <w:color w:val="auto"/>
        </w:rPr>
        <w:t>MISCELLANEOUS PROVISIONS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13.01</w:t>
      </w:r>
      <w:r>
        <w:rPr>
          <w:sz w:val="20"/>
          <w:szCs w:val="20"/>
          <w:color w:val="auto"/>
        </w:rPr>
        <w:tab/>
      </w:r>
      <w:r>
        <w:rPr>
          <w:rFonts w:ascii="Times New Roman" w:cs="Times New Roman" w:eastAsia="Times New Roman" w:hAnsi="Times New Roman"/>
          <w:sz w:val="17"/>
          <w:szCs w:val="17"/>
          <w:color w:val="auto"/>
        </w:rPr>
        <w:t>Effect on Successors and Assigns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13.02</w:t>
      </w:r>
      <w:r>
        <w:rPr>
          <w:sz w:val="20"/>
          <w:szCs w:val="20"/>
          <w:color w:val="auto"/>
        </w:rPr>
        <w:tab/>
      </w:r>
      <w:r>
        <w:rPr>
          <w:rFonts w:ascii="Times New Roman" w:cs="Times New Roman" w:eastAsia="Times New Roman" w:hAnsi="Times New Roman"/>
          <w:sz w:val="17"/>
          <w:szCs w:val="17"/>
          <w:color w:val="auto"/>
        </w:rPr>
        <w:t>Actions by Successor</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13.03</w:t>
      </w:r>
      <w:r>
        <w:rPr>
          <w:sz w:val="20"/>
          <w:szCs w:val="20"/>
          <w:color w:val="auto"/>
        </w:rPr>
        <w:tab/>
      </w:r>
      <w:r>
        <w:rPr>
          <w:rFonts w:ascii="Times New Roman" w:cs="Times New Roman" w:eastAsia="Times New Roman" w:hAnsi="Times New Roman"/>
          <w:sz w:val="17"/>
          <w:szCs w:val="17"/>
          <w:color w:val="auto"/>
        </w:rPr>
        <w:t>Surrender of Company Powers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13.04</w:t>
      </w:r>
      <w:r>
        <w:rPr>
          <w:sz w:val="20"/>
          <w:szCs w:val="20"/>
          <w:color w:val="auto"/>
        </w:rPr>
        <w:tab/>
      </w:r>
      <w:r>
        <w:rPr>
          <w:rFonts w:ascii="Times New Roman" w:cs="Times New Roman" w:eastAsia="Times New Roman" w:hAnsi="Times New Roman"/>
          <w:sz w:val="18"/>
          <w:szCs w:val="18"/>
          <w:color w:val="auto"/>
        </w:rPr>
        <w:t>Notices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13.05</w:t>
      </w:r>
      <w:r>
        <w:rPr>
          <w:sz w:val="20"/>
          <w:szCs w:val="20"/>
          <w:color w:val="auto"/>
        </w:rPr>
        <w:tab/>
      </w:r>
      <w:r>
        <w:rPr>
          <w:rFonts w:ascii="Times New Roman" w:cs="Times New Roman" w:eastAsia="Times New Roman" w:hAnsi="Times New Roman"/>
          <w:sz w:val="17"/>
          <w:szCs w:val="17"/>
          <w:color w:val="auto"/>
        </w:rPr>
        <w:t>Governing Law; Jury Trial Waiver</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13.06</w:t>
      </w:r>
      <w:r>
        <w:rPr>
          <w:sz w:val="20"/>
          <w:szCs w:val="20"/>
          <w:color w:val="auto"/>
        </w:rPr>
        <w:tab/>
      </w:r>
      <w:r>
        <w:rPr>
          <w:rFonts w:ascii="Times New Roman" w:cs="Times New Roman" w:eastAsia="Times New Roman" w:hAnsi="Times New Roman"/>
          <w:sz w:val="17"/>
          <w:szCs w:val="17"/>
          <w:color w:val="auto"/>
        </w:rPr>
        <w:t>Treatment of Securities as Debt</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13.07</w:t>
      </w:r>
      <w:r>
        <w:rPr>
          <w:sz w:val="20"/>
          <w:szCs w:val="20"/>
          <w:color w:val="auto"/>
        </w:rPr>
        <w:tab/>
      </w:r>
      <w:r>
        <w:rPr>
          <w:rFonts w:ascii="Times New Roman" w:cs="Times New Roman" w:eastAsia="Times New Roman" w:hAnsi="Times New Roman"/>
          <w:sz w:val="17"/>
          <w:szCs w:val="17"/>
          <w:color w:val="auto"/>
        </w:rPr>
        <w:t>Certificates and Opinions as to Conditions Precedent</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13.08</w:t>
      </w:r>
      <w:r>
        <w:rPr>
          <w:sz w:val="20"/>
          <w:szCs w:val="20"/>
          <w:color w:val="auto"/>
        </w:rPr>
        <w:tab/>
      </w:r>
      <w:r>
        <w:rPr>
          <w:rFonts w:ascii="Times New Roman" w:cs="Times New Roman" w:eastAsia="Times New Roman" w:hAnsi="Times New Roman"/>
          <w:sz w:val="17"/>
          <w:szCs w:val="17"/>
          <w:color w:val="auto"/>
        </w:rPr>
        <w:t>Payments on Business Days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13.09</w:t>
      </w:r>
      <w:r>
        <w:rPr>
          <w:sz w:val="20"/>
          <w:szCs w:val="20"/>
          <w:color w:val="auto"/>
        </w:rPr>
        <w:tab/>
      </w:r>
      <w:r>
        <w:rPr>
          <w:rFonts w:ascii="Times New Roman" w:cs="Times New Roman" w:eastAsia="Times New Roman" w:hAnsi="Times New Roman"/>
          <w:sz w:val="17"/>
          <w:szCs w:val="17"/>
          <w:color w:val="auto"/>
        </w:rPr>
        <w:t>Conflict with Trust Indenture Act</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8"/>
          <w:szCs w:val="18"/>
          <w:color w:val="auto"/>
        </w:rPr>
        <w:t>Counterparts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8"/>
          <w:szCs w:val="18"/>
          <w:color w:val="auto"/>
        </w:rPr>
        <w:t>Separability</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color w:val="auto"/>
        </w:rPr>
        <w:t>Compliance Certificates</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13.13</w:t>
      </w:r>
      <w:r>
        <w:rPr>
          <w:sz w:val="20"/>
          <w:szCs w:val="20"/>
          <w:color w:val="auto"/>
        </w:rPr>
        <w:tab/>
      </w:r>
      <w:r>
        <w:rPr>
          <w:rFonts w:ascii="Times New Roman" w:cs="Times New Roman" w:eastAsia="Times New Roman" w:hAnsi="Times New Roman"/>
          <w:sz w:val="17"/>
          <w:szCs w:val="17"/>
          <w:color w:val="auto"/>
        </w:rPr>
        <w:t>USA PATRIOT ACT</w:t>
      </w:r>
    </w:p>
    <w:p>
      <w:pPr>
        <w:spacing w:after="0" w:line="9" w:lineRule="exact"/>
        <w:rPr>
          <w:sz w:val="20"/>
          <w:szCs w:val="20"/>
          <w:color w:val="auto"/>
        </w:rPr>
      </w:pPr>
    </w:p>
    <w:p>
      <w:pPr>
        <w:ind w:left="36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13.14</w:t>
      </w:r>
      <w:r>
        <w:rPr>
          <w:sz w:val="20"/>
          <w:szCs w:val="20"/>
          <w:color w:val="auto"/>
        </w:rPr>
        <w:tab/>
      </w:r>
      <w:r>
        <w:rPr>
          <w:rFonts w:ascii="Times New Roman" w:cs="Times New Roman" w:eastAsia="Times New Roman" w:hAnsi="Times New Roman"/>
          <w:sz w:val="18"/>
          <w:szCs w:val="18"/>
          <w:color w:val="auto"/>
        </w:rPr>
        <w:t>Calculations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INDENTURE ACT CROSS-REFERENCE TABLE</w:t>
      </w:r>
    </w:p>
    <w:p>
      <w:pPr>
        <w:sectPr>
          <w:pgSz w:w="11900" w:h="16838" w:orient="portrait"/>
          <w:cols w:equalWidth="0" w:num="1">
            <w:col w:w="10019"/>
          </w:cols>
          <w:pgMar w:left="440" w:top="270" w:right="1440" w:bottom="1440" w:gutter="0" w:footer="0" w:header="0"/>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AQUABOUNTY TECHNOLOGIES,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for its lawful corporate purposes, the Company has duly authorized the execution and delivery of this Indenture to provide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subordinated debt securities (hereinafter referred to as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5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and binding agreement of the Company, in accordance with its terms, have been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done.</w:t>
      </w:r>
    </w:p>
    <w:p>
      <w:pPr>
        <w:spacing w:after="0" w:line="20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 of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xml:space="preserve">” means an authenticating agent with respect to all or any of the series of Securities appointed by the Trustee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ectPr>
          <w:pgSz w:w="11900" w:h="16838" w:orient="portrait"/>
          <w:cols w:equalWidth="0" w:num="1">
            <w:col w:w="10960"/>
          </w:cols>
          <w:pgMar w:left="440" w:top="266" w:right="499" w:bottom="1440" w:gutter="0" w:footer="0" w:header="0"/>
        </w:sectPr>
      </w:pPr>
    </w:p>
    <w:bookmarkStart w:id="78" w:name="page79"/>
    <w:bookmarkEnd w:id="78"/>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AquaBounty Technologies, Inc., a corporation duly organized and existing under the laws of the State of Delaware, and, subject to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shall also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 Officer of the Company, and delivered to the Trustee.</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administered, which office at the date hereof is located at .</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means, with respect to Securities of a particular series, any event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continued for the period of time, if any, therein designated.</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w:t>
      </w:r>
    </w:p>
    <w:p>
      <w:pPr>
        <w:spacing w:after="0" w:line="4"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 xml:space="preserve">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2"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ectPr>
          <w:pgSz w:w="11900" w:h="16838" w:orient="portrait"/>
          <w:cols w:equalWidth="0" w:num="1">
            <w:col w:w="11000"/>
          </w:cols>
          <w:pgMar w:left="440" w:top="266" w:right="459" w:bottom="1440" w:gutter="0" w:footer="0" w:header="0"/>
        </w:sectPr>
      </w:pPr>
    </w:p>
    <w:bookmarkStart w:id="79" w:name="page80"/>
    <w:bookmarkEnd w:id="79"/>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signed by any Officer. Each such certificate shall include the statements provided for in </w:t>
      </w:r>
      <w:r>
        <w:rPr>
          <w:rFonts w:ascii="Times New Roman" w:cs="Times New Roman" w:eastAsia="Times New Roman" w:hAnsi="Times New Roman"/>
          <w:sz w:val="18"/>
          <w:szCs w:val="18"/>
          <w:u w:val="single" w:color="auto"/>
          <w:color w:val="auto"/>
        </w:rPr>
        <w:t>Section 13.07</w:t>
      </w:r>
      <w:r>
        <w:rPr>
          <w:rFonts w:ascii="Times New Roman" w:cs="Times New Roman" w:eastAsia="Times New Roman" w:hAnsi="Times New Roman"/>
          <w:sz w:val="18"/>
          <w:szCs w:val="18"/>
          <w:color w:val="auto"/>
        </w:rPr>
        <w:t>, if and to the extent required by the provisions thereof.</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Times New Roman" w:cs="Times New Roman" w:eastAsia="Times New Roman" w:hAnsi="Times New Roman"/>
          <w:sz w:val="18"/>
          <w:szCs w:val="18"/>
          <w:u w:val="single" w:color="auto"/>
          <w:color w:val="auto"/>
        </w:rPr>
        <w:t>Section 13.07</w:t>
      </w:r>
      <w:r>
        <w:rPr>
          <w:rFonts w:ascii="Times New Roman" w:cs="Times New Roman" w:eastAsia="Times New Roman" w:hAnsi="Times New Roman"/>
          <w:sz w:val="18"/>
          <w:szCs w:val="18"/>
          <w:color w:val="auto"/>
        </w:rPr>
        <w:t>, if and to the extent required by the provisions thereof.</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when used with reference to Securities of any series, means, subject to the provisions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Securities or portions of such Securities are to be redeemed prior to the maturity thereof, notice of such redemption shall have been given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16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32"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lieu of a lost, destroyed or stolen Security shall be deemed to evidence the same debt as the lost, destroyed or stolen Security.</w:t>
      </w:r>
    </w:p>
    <w:p>
      <w:pPr>
        <w:spacing w:after="0" w:line="17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8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xml:space="preserve">” shall have the meanings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40" w:right="120" w:firstLine="419"/>
        <w:spacing w:after="0" w:line="266"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w:t>
      </w:r>
    </w:p>
    <w:p>
      <w:pPr>
        <w:sectPr>
          <w:pgSz w:w="11900" w:h="16838" w:orient="portrait"/>
          <w:cols w:equalWidth="0" w:num="1">
            <w:col w:w="10940"/>
          </w:cols>
          <w:pgMar w:left="440" w:top="266" w:right="519" w:bottom="1440" w:gutter="0" w:footer="0" w:header="0"/>
        </w:sectPr>
      </w:pPr>
    </w:p>
    <w:bookmarkStart w:id="80" w:name="page81"/>
    <w:bookmarkEnd w:id="80"/>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 a partnership in which such Person or a subsidiary of such Person is, at the date of determination, a general partner of such partnership;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w:t>
      </w:r>
    </w:p>
    <w:p>
      <w:pPr>
        <w:spacing w:after="0" w:line="99" w:lineRule="exact"/>
        <w:rPr>
          <w:sz w:val="20"/>
          <w:szCs w:val="20"/>
          <w:color w:val="auto"/>
        </w:rPr>
      </w:pPr>
    </w:p>
    <w:p>
      <w:pPr>
        <w:ind w:left="440" w:right="160" w:firstLine="419"/>
        <w:spacing w:after="0" w:line="261" w:lineRule="auto"/>
        <w:tabs>
          <w:tab w:leader="none" w:pos="1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xml:space="preserve">” means , and, subject to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 and in effect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Designation and Terms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81" w:lineRule="auto"/>
        <w:tabs>
          <w:tab w:leader="none" w:pos="123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56"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6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117" w:lineRule="exact"/>
        <w:rPr>
          <w:rFonts w:ascii="Times New Roman" w:cs="Times New Roman" w:eastAsia="Times New Roman" w:hAnsi="Times New Roman"/>
          <w:sz w:val="18"/>
          <w:szCs w:val="18"/>
          <w:color w:val="auto"/>
        </w:rPr>
      </w:pPr>
    </w:p>
    <w:p>
      <w:pPr>
        <w:jc w:val="both"/>
        <w:ind w:left="980" w:right="140" w:firstLine="408"/>
        <w:spacing w:after="0" w:line="266" w:lineRule="auto"/>
        <w:tabs>
          <w:tab w:leader="none" w:pos="16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converted or exchanged, in whole or in part;</w:t>
      </w:r>
    </w:p>
    <w:p>
      <w:pPr>
        <w:sectPr>
          <w:pgSz w:w="11900" w:h="16838" w:orient="portrait"/>
          <w:cols w:equalWidth="0" w:num="1">
            <w:col w:w="10980"/>
          </w:cols>
          <w:pgMar w:left="440" w:top="270" w:right="479" w:bottom="1440" w:gutter="0" w:footer="0" w:header="0"/>
        </w:sectPr>
      </w:pPr>
    </w:p>
    <w:bookmarkStart w:id="81" w:name="page82"/>
    <w:bookmarkEnd w:id="81"/>
    <w:p>
      <w:pPr>
        <w:ind w:left="-20" w:right="160" w:firstLine="408"/>
        <w:spacing w:after="0" w:line="261" w:lineRule="auto"/>
        <w:tabs>
          <w:tab w:leader="none" w:pos="6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color w:val="auto"/>
        </w:rPr>
      </w:pPr>
    </w:p>
    <w:p>
      <w:pPr>
        <w:ind w:left="-20" w:right="460" w:firstLine="408"/>
        <w:spacing w:after="0" w:line="282" w:lineRule="auto"/>
        <w:tabs>
          <w:tab w:leader="none" w:pos="71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Securities of the series shall be issuable;</w:t>
      </w:r>
    </w:p>
    <w:p>
      <w:pPr>
        <w:spacing w:after="0" w:line="53"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71"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20" w:right="80" w:firstLine="408"/>
        <w:spacing w:after="0" w:line="258"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5" w:lineRule="exact"/>
        <w:rPr>
          <w:rFonts w:ascii="Times New Roman" w:cs="Times New Roman" w:eastAsia="Times New Roman" w:hAnsi="Times New Roman"/>
          <w:sz w:val="18"/>
          <w:szCs w:val="18"/>
          <w:color w:val="auto"/>
        </w:rPr>
      </w:pPr>
    </w:p>
    <w:p>
      <w:pPr>
        <w:ind w:left="-20" w:right="460" w:firstLine="408"/>
        <w:spacing w:after="0" w:line="282"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17" w:lineRule="exact"/>
        <w:rPr>
          <w:rFonts w:ascii="Times New Roman" w:cs="Times New Roman" w:eastAsia="Times New Roman" w:hAnsi="Times New Roman"/>
          <w:sz w:val="18"/>
          <w:szCs w:val="18"/>
          <w:color w:val="auto"/>
        </w:rPr>
      </w:pPr>
    </w:p>
    <w:p>
      <w:pPr>
        <w:ind w:left="-20" w:firstLine="408"/>
        <w:spacing w:after="0" w:line="254"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Times New Roman" w:cs="Times New Roman" w:eastAsia="Times New Roman" w:hAnsi="Times New Roman"/>
          <w:sz w:val="18"/>
          <w:szCs w:val="18"/>
          <w:color w:val="auto"/>
        </w:rPr>
      </w:pPr>
    </w:p>
    <w:p>
      <w:pPr>
        <w:ind w:left="-20" w:right="240" w:firstLine="408"/>
        <w:spacing w:after="0" w:line="261"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71" w:lineRule="exact"/>
        <w:rPr>
          <w:rFonts w:ascii="Times New Roman" w:cs="Times New Roman" w:eastAsia="Times New Roman" w:hAnsi="Times New Roman"/>
          <w:sz w:val="18"/>
          <w:szCs w:val="18"/>
          <w:color w:val="auto"/>
        </w:rPr>
      </w:pPr>
    </w:p>
    <w:p>
      <w:pPr>
        <w:jc w:val="both"/>
        <w:ind w:left="-20" w:right="60" w:firstLine="408"/>
        <w:spacing w:after="0" w:line="266"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7"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7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ectPr>
          <w:pgSz w:w="11900" w:h="16838" w:orient="portrait"/>
          <w:cols w:equalWidth="0" w:num="1">
            <w:col w:w="10000"/>
          </w:cols>
          <w:pgMar w:left="1440" w:top="270" w:right="459" w:bottom="1440" w:gutter="0" w:footer="0" w:header="0"/>
        </w:sectPr>
      </w:pPr>
    </w:p>
    <w:bookmarkStart w:id="82" w:name="page83"/>
    <w:bookmarkEnd w:id="82"/>
    <w:p>
      <w:pPr>
        <w:ind w:left="980" w:right="140" w:firstLine="408"/>
        <w:spacing w:after="0" w:line="312" w:lineRule="auto"/>
        <w:tabs>
          <w:tab w:leader="none" w:pos="172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1" w:lineRule="exact"/>
        <w:rPr>
          <w:rFonts w:ascii="Times New Roman" w:cs="Times New Roman" w:eastAsia="Times New Roman" w:hAnsi="Times New Roman"/>
          <w:sz w:val="17"/>
          <w:szCs w:val="17"/>
          <w:color w:val="auto"/>
        </w:rPr>
      </w:pPr>
    </w:p>
    <w:p>
      <w:pPr>
        <w:ind w:left="1740" w:hanging="352"/>
        <w:spacing w:after="0"/>
        <w:tabs>
          <w:tab w:leader="none" w:pos="1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Securities and Trustee’s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Denominations: Provisions for Payment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Times New Roman" w:cs="Times New Roman" w:eastAsia="Times New Roman" w:hAnsi="Times New Roman"/>
          <w:sz w:val="18"/>
          <w:szCs w:val="18"/>
          <w:u w:val="single" w:color="auto"/>
          <w:color w:val="auto"/>
        </w:rPr>
        <w:t>Section 2.01(a)(18)</w:t>
      </w:r>
      <w:r>
        <w:rPr>
          <w:rFonts w:ascii="Times New Roman" w:cs="Times New Roman" w:eastAsia="Times New Roman" w:hAnsi="Times New Roman"/>
          <w:sz w:val="18"/>
          <w:szCs w:val="18"/>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83" w:name="page84"/>
    <w:bookmarkEnd w:id="83"/>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7"/>
          <w:szCs w:val="17"/>
          <w:b w:val="1"/>
          <w:bCs w:val="1"/>
          <w:color w:val="auto"/>
        </w:rPr>
        <w:t>Defaulted Interest</w:t>
      </w:r>
      <w:r>
        <w:rPr>
          <w:rFonts w:ascii="Times New Roman" w:cs="Times New Roman" w:eastAsia="Times New Roman" w:hAnsi="Times New Roman"/>
          <w:sz w:val="17"/>
          <w:szCs w:val="17"/>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left="440" w:firstLine="419"/>
        <w:spacing w:after="0" w:line="25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8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set forth in a Board Resolution or one or more indentures supplemental hereto establishing the terms of any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first day of a month, or (ii) the first day of the month in which an Interest Payment Date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shall occur, if such Interest Payment Date is the fifteenth day of a month, whether or not such date is a Business Day.</w:t>
      </w:r>
    </w:p>
    <w:p>
      <w:pPr>
        <w:spacing w:after="0" w:line="187" w:lineRule="exact"/>
        <w:rPr>
          <w:sz w:val="20"/>
          <w:szCs w:val="20"/>
          <w:color w:val="auto"/>
        </w:rPr>
      </w:pPr>
    </w:p>
    <w:p>
      <w:pPr>
        <w:jc w:val="both"/>
        <w:ind w:right="140" w:firstLine="440"/>
        <w:spacing w:after="0" w:line="312"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Execution and Authentications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ectPr>
          <w:pgSz w:w="11900" w:h="16838" w:orient="portrait"/>
          <w:cols w:equalWidth="0" w:num="1">
            <w:col w:w="10980"/>
          </w:cols>
          <w:pgMar w:left="440" w:top="270" w:right="479" w:bottom="1440" w:gutter="0" w:footer="0" w:header="0"/>
        </w:sectPr>
      </w:pPr>
    </w:p>
    <w:bookmarkStart w:id="84" w:name="page85"/>
    <w:bookmarkEnd w:id="8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authenticating such Securities and accepting the additional responsibilities under this Indenture in relation to such Securities, the Trustee shall receive,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183"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of 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77" w:lineRule="auto"/>
        <w:tabs>
          <w:tab w:leader="none" w:pos="12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9" w:lineRule="exact"/>
        <w:rPr>
          <w:rFonts w:ascii="Times New Roman" w:cs="Times New Roman" w:eastAsia="Times New Roman" w:hAnsi="Times New Roman"/>
          <w:sz w:val="17"/>
          <w:szCs w:val="17"/>
          <w:color w:val="auto"/>
        </w:rPr>
      </w:pPr>
    </w:p>
    <w:p>
      <w:pPr>
        <w:ind w:right="120" w:firstLine="987"/>
        <w:spacing w:after="0" w:line="258"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68" w:lineRule="exact"/>
        <w:rPr>
          <w:sz w:val="20"/>
          <w:szCs w:val="20"/>
          <w:color w:val="auto"/>
        </w:rPr>
      </w:pPr>
    </w:p>
    <w:p>
      <w:pPr>
        <w:ind w:right="20" w:firstLine="987"/>
        <w:spacing w:after="0" w:line="261"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not involving any transfer.</w:t>
      </w:r>
    </w:p>
    <w:p>
      <w:pPr>
        <w:spacing w:after="0" w:line="71"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are, with respect to any Global Security,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hereof.</w:t>
      </w:r>
    </w:p>
    <w:p>
      <w:pPr>
        <w:sectPr>
          <w:pgSz w:w="11900" w:h="16838" w:orient="portrait"/>
          <w:cols w:equalWidth="0" w:num="1">
            <w:col w:w="11020"/>
          </w:cols>
          <w:pgMar w:left="440" w:top="270" w:right="439" w:bottom="1440" w:gutter="0" w:footer="0" w:header="0"/>
        </w:sectPr>
      </w:pPr>
    </w:p>
    <w:bookmarkStart w:id="85" w:name="page86"/>
    <w:bookmarkEnd w:id="8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69" w:lineRule="auto"/>
        <w:rPr>
          <w:sz w:val="20"/>
          <w:szCs w:val="20"/>
          <w:color w:val="auto"/>
        </w:rPr>
      </w:pPr>
      <w:r>
        <w:rPr>
          <w:rFonts w:ascii="Times New Roman" w:cs="Times New Roman" w:eastAsia="Times New Roman" w:hAnsi="Times New Roman"/>
          <w:sz w:val="17"/>
          <w:szCs w:val="17"/>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Mutilated, Destroyed, Lost or Stolen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ectPr>
          <w:pgSz w:w="11900" w:h="16838" w:orient="portrait"/>
          <w:cols w:equalWidth="0" w:num="1">
            <w:col w:w="11020"/>
          </w:cols>
          <w:pgMar w:left="440" w:top="270" w:right="439" w:bottom="1440" w:gutter="0" w:footer="0" w:header="0"/>
        </w:sectPr>
      </w:pPr>
    </w:p>
    <w:bookmarkStart w:id="86" w:name="page87"/>
    <w:bookmarkEnd w:id="86"/>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Nothing in this Indenture or in the Securities, express or implied, shall give or be construed to give to any Person, other than the parties hereto and the holders of the Securities (and, with respect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 holders of any indebtedness of the Company to which the Securities of any series are subordinated).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establish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the Securities of a particular series are to be issued as a Global Security, then the Company shall execute and the Trustee shall,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of the Indenture, this Security may be transferred, in whole but not in part, only to another nominee of the Depositary or to a successor Depositary or to a nominee of such successor Depositary.”</w:t>
      </w:r>
    </w:p>
    <w:p>
      <w:pPr>
        <w:spacing w:after="0" w:line="80"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Global Security of a series may be transferred, in whole but not in part and in the manner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only to another nominee of the Depositary for such series, or to a successor Depositary for such series selected or approved by the Company or to a nominee of such successor Depositary.</w:t>
      </w:r>
    </w:p>
    <w:p>
      <w:pPr>
        <w:spacing w:after="0" w:line="67" w:lineRule="exact"/>
        <w:rPr>
          <w:rFonts w:ascii="Times New Roman" w:cs="Times New Roman" w:eastAsia="Times New Roman" w:hAnsi="Times New Roman"/>
          <w:sz w:val="18"/>
          <w:szCs w:val="18"/>
          <w:color w:val="auto"/>
        </w:rPr>
      </w:pPr>
    </w:p>
    <w:p>
      <w:pPr>
        <w:ind w:right="100" w:firstLine="987"/>
        <w:spacing w:after="0" w:line="252"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be applicable to the Securities of such series and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no longer apply to the Securities of such series. In such event the Company will execute and, subject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may redeem the Securities of any series issued hereunder on and after the dates and in accordance with the terms established for such series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74" w:lineRule="auto"/>
        <w:tabs>
          <w:tab w:leader="none" w:pos="123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w:t>
      </w:r>
    </w:p>
    <w:p>
      <w:pPr>
        <w:sectPr>
          <w:pgSz w:w="11900" w:h="16838" w:orient="portrait"/>
          <w:cols w:equalWidth="0" w:num="1">
            <w:col w:w="11000"/>
          </w:cols>
          <w:pgMar w:left="440" w:top="270" w:right="459" w:bottom="1440" w:gutter="0" w:footer="0" w:header="0"/>
        </w:sectPr>
      </w:pPr>
    </w:p>
    <w:bookmarkStart w:id="88" w:name="page89"/>
    <w:bookmarkEnd w:id="88"/>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68" w:lineRule="exact"/>
        <w:rPr>
          <w:sz w:val="20"/>
          <w:szCs w:val="20"/>
          <w:color w:val="auto"/>
        </w:rPr>
      </w:pPr>
    </w:p>
    <w:p>
      <w:pPr>
        <w:ind w:firstLine="987"/>
        <w:spacing w:after="0" w:line="253"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Payment Upon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4"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89" w:name="page90"/>
    <w:bookmarkEnd w:id="89"/>
    <w:p>
      <w:pPr>
        <w:ind w:right="180" w:firstLine="987"/>
        <w:spacing w:after="0" w:line="266"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shall be applicable to any sinking fund for the retirement of Securities of a series, except as otherwise specified as contemplated by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for Securities of such series.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sinking fund payment shall be applied to the redemption of Securities of any series as provided for by the terms of Securities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cause notice of the redemption thereof to be given in the name of and at the expense of the Company in the manner provided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Such notice having been duly given, the redemption of such Securities shall be made upon the terms and in the manner stated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ectPr>
          <w:pgSz w:w="11900" w:h="16838" w:orient="portrait"/>
          <w:cols w:equalWidth="0" w:num="1">
            <w:col w:w="11000"/>
          </w:cols>
          <w:pgMar w:left="440" w:top="270" w:right="45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66"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color w:val="auto"/>
        </w:rPr>
      </w:pPr>
    </w:p>
    <w:p>
      <w:pPr>
        <w:ind w:left="980" w:right="480" w:firstLine="408"/>
        <w:spacing w:after="0" w:line="312" w:lineRule="auto"/>
        <w:tabs>
          <w:tab w:leader="none" w:pos="1636"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31" w:lineRule="exact"/>
        <w:rPr>
          <w:rFonts w:ascii="Times New Roman" w:cs="Times New Roman" w:eastAsia="Times New Roman" w:hAnsi="Times New Roman"/>
          <w:sz w:val="17"/>
          <w:szCs w:val="17"/>
          <w:color w:val="auto"/>
        </w:rPr>
      </w:pPr>
    </w:p>
    <w:p>
      <w:pPr>
        <w:ind w:left="980" w:right="60" w:firstLine="408"/>
        <w:spacing w:after="0" w:line="282" w:lineRule="auto"/>
        <w:tabs>
          <w:tab w:leader="none" w:pos="16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53"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6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117"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83"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to the contrary, (i) the agreement to hold sums in trust as provided in this Section is 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ectPr>
          <w:pgSz w:w="11900" w:h="16838" w:orient="portrait"/>
          <w:cols w:equalWidth="0" w:num="1">
            <w:col w:w="11000"/>
          </w:cols>
          <w:pgMar w:left="440" w:top="270" w:right="459" w:bottom="1440" w:gutter="0" w:footer="0" w:header="0"/>
        </w:sectPr>
      </w:pPr>
    </w:p>
    <w:bookmarkStart w:id="91" w:name="page92"/>
    <w:bookmarkEnd w:id="9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 The Company initially appoints the Trustee at its Corporate Trust Office as its paying agent with respect to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Appointment to Fill Vacancy in Office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whenever necessary to avoid or fill a vacancy in the office of Trustee, will appoint, in the manner provided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a Trustee, so that there shall at all times be a Trustee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Compliance with Consolidation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hereof are complied with.</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Company to Furnish Trustee Names and Addresses of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will furnish or cause to be furnished to the Trustee (a) within 5 days after each regular record date (as defined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 list, in such form as the Trustee may reasonably require, of the names and addresses of the holders of each series of Securities as of such regular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obligated to furnish or cause to be furnished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either case, no such list need be furnished for any series for which the Trustee shall be the Security Registrar.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Preservation Of Information; Communications With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87"/>
        <w:spacing w:after="0" w:line="26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as to the names and addresses of holders of Securities received by the Trustee in its capacity as Security Registrar (if acting in such capacity).</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destroy any list furnished to it as provided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upon receipt of a new list so furnished.</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Reports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Company shall not be required to deliver to the Trustee any materials for which the Company has sought and received confidential treatment by the Commission;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92" w:name="page93"/>
    <w:bookmarkEnd w:id="92"/>
    <w:p>
      <w:pPr>
        <w:ind w:right="60" w:firstLine="987"/>
        <w:spacing w:after="0" w:line="261"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Delivery of reports, information and documents to the Trustee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Reports by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right="160" w:firstLine="987"/>
        <w:spacing w:after="0" w:line="26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 OF DEFAULT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87"/>
        <w:spacing w:after="0" w:line="282"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3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58" w:lineRule="auto"/>
        <w:tabs>
          <w:tab w:leader="none" w:pos="163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75" w:lineRule="exact"/>
        <w:rPr>
          <w:rFonts w:ascii="Times New Roman" w:cs="Times New Roman" w:eastAsia="Times New Roman" w:hAnsi="Times New Roman"/>
          <w:sz w:val="18"/>
          <w:szCs w:val="18"/>
          <w:color w:val="auto"/>
        </w:rPr>
      </w:pPr>
    </w:p>
    <w:p>
      <w:pPr>
        <w:ind w:left="980" w:right="220" w:firstLine="408"/>
        <w:spacing w:after="0" w:line="256" w:lineRule="auto"/>
        <w:tabs>
          <w:tab w:leader="none" w:pos="163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hereunder, shall have been given to the Company by the Trustee or to the Company and the Trustee by the holders of at least 25% in principal amount of the Securities of that series at the time Outstanding;</w:t>
      </w:r>
    </w:p>
    <w:p>
      <w:pPr>
        <w:sectPr>
          <w:pgSz w:w="11900" w:h="16838" w:orient="portrait"/>
          <w:cols w:equalWidth="0" w:num="1">
            <w:col w:w="11020"/>
          </w:cols>
          <w:pgMar w:left="440" w:top="270" w:right="439" w:bottom="1440" w:gutter="0" w:footer="0" w:header="0"/>
        </w:sectPr>
      </w:pPr>
    </w:p>
    <w:bookmarkStart w:id="93" w:name="page94"/>
    <w:bookmarkEnd w:id="93"/>
    <w:p>
      <w:pPr>
        <w:ind w:left="984" w:firstLine="408"/>
        <w:spacing w:after="0" w:line="266" w:lineRule="auto"/>
        <w:tabs>
          <w:tab w:leader="none" w:pos="164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color w:val="auto"/>
        </w:rPr>
      </w:pPr>
    </w:p>
    <w:p>
      <w:pPr>
        <w:ind w:left="984" w:right="280" w:firstLine="408"/>
        <w:spacing w:after="0" w:line="266" w:lineRule="auto"/>
        <w:tabs>
          <w:tab w:leader="none" w:pos="164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67" w:lineRule="exact"/>
        <w:rPr>
          <w:rFonts w:ascii="Times New Roman" w:cs="Times New Roman" w:eastAsia="Times New Roman" w:hAnsi="Times New Roman"/>
          <w:sz w:val="18"/>
          <w:szCs w:val="18"/>
          <w:color w:val="auto"/>
        </w:rPr>
      </w:pPr>
    </w:p>
    <w:p>
      <w:pPr>
        <w:ind w:left="4" w:right="60" w:firstLine="987"/>
        <w:spacing w:after="0" w:line="269" w:lineRule="auto"/>
        <w:tabs>
          <w:tab w:leader="none" w:pos="125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right="40" w:firstLine="987"/>
        <w:spacing w:after="0" w:line="258" w:lineRule="auto"/>
        <w:tabs>
          <w:tab w:leader="none" w:pos="125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56" w:lineRule="auto"/>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94" w:name="page95"/>
    <w:bookmarkEnd w:id="94"/>
    <w:p>
      <w:pPr>
        <w:ind w:firstLine="987"/>
        <w:spacing w:after="0" w:line="258"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75"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be for the ratable benefit of the holders of the Securities of such series.</w:t>
      </w:r>
    </w:p>
    <w:p>
      <w:pPr>
        <w:spacing w:after="0" w:line="18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Application of Moneys Collected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right="10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indebtedness of the Company to which such series of Securities is subordinated to the extent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any subordination terms of the series specified as contemplated by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To the payment of the amounts then due and unpaid upon Securities of such series for principal (and premium, if any) and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ectPr>
          <w:pgSz w:w="11900" w:h="16838" w:orient="portrait"/>
          <w:cols w:equalWidth="0" w:num="1">
            <w:col w:w="11000"/>
          </w:cols>
          <w:pgMar w:left="440" w:top="270" w:right="45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w:t>
      </w:r>
      <w:r>
        <w:rPr>
          <w:rFonts w:ascii="Times New Roman" w:cs="Times New Roman" w:eastAsia="Times New Roman" w:hAnsi="Times New Roman"/>
          <w:sz w:val="18"/>
          <w:szCs w:val="18"/>
          <w:color w:val="auto"/>
        </w:rPr>
        <w:t>: To the payment of the remainder, if any, to the Company or any other Person lawfully entitled thereto.</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Rights and Remedies Cumulative; Delay or Omission Not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Control by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Securities of any series at the time Outstanding,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direction shall not be in conflict with any rule of law or with this Indenture or subject the Trustee in its sole discretion to personal liability. The Trustee shall have the right</w:t>
      </w:r>
    </w:p>
    <w:p>
      <w:pPr>
        <w:sectPr>
          <w:pgSz w:w="11900" w:h="16838" w:orient="portrait"/>
          <w:cols w:equalWidth="0" w:num="1">
            <w:col w:w="11020"/>
          </w:cols>
          <w:pgMar w:left="440" w:top="266" w:right="439" w:bottom="1440" w:gutter="0" w:footer="0" w:header="0"/>
        </w:sectPr>
      </w:pPr>
    </w:p>
    <w:bookmarkStart w:id="96" w:name="page97"/>
    <w:bookmarkEnd w:id="9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may on behalf of the holders of all of the Securities of such series waive any past default in the performance of any of the covenants contained herein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Undertaking to Pay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Certain Duties and Responsibilities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6"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79"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color w:val="auto"/>
        </w:rPr>
      </w:pPr>
    </w:p>
    <w:p>
      <w:pPr>
        <w:ind w:left="980" w:right="160" w:firstLine="910"/>
        <w:spacing w:after="0" w:line="261" w:lineRule="auto"/>
        <w:tabs>
          <w:tab w:leader="none" w:pos="2177"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ectPr>
          <w:pgSz w:w="11900" w:h="16838" w:orient="portrait"/>
          <w:cols w:equalWidth="0" w:num="1">
            <w:col w:w="11020"/>
          </w:cols>
          <w:pgMar w:left="440" w:top="270" w:right="439" w:bottom="1440" w:gutter="0" w:footer="0" w:header="0"/>
        </w:sectPr>
      </w:pPr>
    </w:p>
    <w:bookmarkStart w:id="97" w:name="page98"/>
    <w:bookmarkEnd w:id="97"/>
    <w:p>
      <w:pPr>
        <w:ind w:left="540" w:right="60" w:firstLine="910"/>
        <w:spacing w:after="0" w:line="256" w:lineRule="auto"/>
        <w:tabs>
          <w:tab w:leader="none" w:pos="172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79"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19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19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1" w:lineRule="exact"/>
        <w:rPr>
          <w:rFonts w:ascii="Times New Roman" w:cs="Times New Roman" w:eastAsia="Times New Roman" w:hAnsi="Times New Roman"/>
          <w:sz w:val="18"/>
          <w:szCs w:val="18"/>
          <w:color w:val="auto"/>
        </w:rPr>
      </w:pPr>
    </w:p>
    <w:p>
      <w:pPr>
        <w:ind w:left="540" w:right="180" w:firstLine="408"/>
        <w:spacing w:after="0" w:line="261" w:lineRule="auto"/>
        <w:tabs>
          <w:tab w:leader="none" w:pos="119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987"/>
        <w:spacing w:after="0" w:line="258" w:lineRule="auto"/>
        <w:tabs>
          <w:tab w:leader="none" w:pos="7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75" w:lineRule="exact"/>
        <w:rPr>
          <w:rFonts w:ascii="Times New Roman" w:cs="Times New Roman" w:eastAsia="Times New Roman" w:hAnsi="Times New Roman"/>
          <w:sz w:val="18"/>
          <w:szCs w:val="18"/>
          <w:color w:val="auto"/>
        </w:rPr>
      </w:pPr>
    </w:p>
    <w:p>
      <w:pPr>
        <w:ind w:left="-440" w:right="40" w:firstLine="987"/>
        <w:spacing w:after="0" w:line="266" w:lineRule="auto"/>
        <w:tabs>
          <w:tab w:leader="none" w:pos="8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67" w:lineRule="exact"/>
        <w:rPr>
          <w:rFonts w:ascii="Times New Roman" w:cs="Times New Roman" w:eastAsia="Times New Roman" w:hAnsi="Times New Roman"/>
          <w:sz w:val="18"/>
          <w:szCs w:val="18"/>
          <w:color w:val="auto"/>
        </w:rPr>
      </w:pPr>
    </w:p>
    <w:p>
      <w:pPr>
        <w:ind w:left="-440" w:right="140" w:firstLine="987"/>
        <w:spacing w:after="0" w:line="282" w:lineRule="auto"/>
        <w:tabs>
          <w:tab w:leader="none" w:pos="7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53" w:lineRule="exact"/>
        <w:rPr>
          <w:rFonts w:ascii="Times New Roman" w:cs="Times New Roman" w:eastAsia="Times New Roman" w:hAnsi="Times New Roman"/>
          <w:sz w:val="18"/>
          <w:szCs w:val="18"/>
          <w:color w:val="auto"/>
        </w:rPr>
      </w:pPr>
    </w:p>
    <w:p>
      <w:pPr>
        <w:ind w:left="-440" w:right="20" w:firstLine="987"/>
        <w:spacing w:after="0" w:line="289" w:lineRule="auto"/>
        <w:tabs>
          <w:tab w:leader="none" w:pos="80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49" w:lineRule="exact"/>
        <w:rPr>
          <w:rFonts w:ascii="Times New Roman" w:cs="Times New Roman" w:eastAsia="Times New Roman" w:hAnsi="Times New Roman"/>
          <w:sz w:val="17"/>
          <w:szCs w:val="17"/>
          <w:color w:val="auto"/>
        </w:rPr>
      </w:pPr>
    </w:p>
    <w:p>
      <w:pPr>
        <w:ind w:left="-440" w:right="400" w:firstLine="987"/>
        <w:spacing w:after="0" w:line="282" w:lineRule="auto"/>
        <w:tabs>
          <w:tab w:leader="none" w:pos="7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ectPr>
          <w:pgSz w:w="11900" w:h="16838" w:orient="portrait"/>
          <w:cols w:equalWidth="0" w:num="1">
            <w:col w:w="10540"/>
          </w:cols>
          <w:pgMar w:left="880" w:top="270" w:right="479" w:bottom="1440" w:gutter="0" w:footer="0" w:header="0"/>
        </w:sectPr>
      </w:pPr>
    </w:p>
    <w:bookmarkStart w:id="98" w:name="page99"/>
    <w:bookmarkEnd w:id="98"/>
    <w:p>
      <w:pPr>
        <w:ind w:right="220" w:firstLine="987"/>
        <w:spacing w:after="0" w:line="254" w:lineRule="auto"/>
        <w:tabs>
          <w:tab w:leader="none" w:pos="121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83"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7"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75" w:lineRule="exact"/>
        <w:rPr>
          <w:rFonts w:ascii="Times New Roman" w:cs="Times New Roman" w:eastAsia="Times New Roman" w:hAnsi="Times New Roman"/>
          <w:sz w:val="18"/>
          <w:szCs w:val="18"/>
          <w:color w:val="auto"/>
        </w:rPr>
      </w:pPr>
    </w:p>
    <w:p>
      <w:pPr>
        <w:ind w:right="260" w:firstLine="987"/>
        <w:spacing w:after="0" w:line="266" w:lineRule="auto"/>
        <w:tabs>
          <w:tab w:leader="none" w:pos="120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Trustee Not Responsible for Recitals or Issuance or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20" w:firstLine="987"/>
        <w:spacing w:after="0" w:line="282"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117" w:lineRule="exact"/>
        <w:rPr>
          <w:rFonts w:ascii="Times New Roman" w:cs="Times New Roman" w:eastAsia="Times New Roman" w:hAnsi="Times New Roman"/>
          <w:sz w:val="18"/>
          <w:szCs w:val="18"/>
          <w:color w:val="auto"/>
        </w:rPr>
      </w:pPr>
    </w:p>
    <w:p>
      <w:pPr>
        <w:ind w:right="440" w:firstLine="987"/>
        <w:spacing w:after="0" w:line="266"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or for the use or application of any moneys received by any paying agent other than the Trustee.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ectPr>
          <w:pgSz w:w="11900" w:h="16838" w:orient="portrait"/>
          <w:cols w:equalWidth="0" w:num="1">
            <w:col w:w="11000"/>
          </w:cols>
          <w:pgMar w:left="440" w:top="270" w:right="45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Moneys Held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81" w:lineRule="exact"/>
        <w:rPr>
          <w:rFonts w:ascii="Times New Roman" w:cs="Times New Roman" w:eastAsia="Times New Roman" w:hAnsi="Times New Roman"/>
          <w:sz w:val="18"/>
          <w:szCs w:val="18"/>
          <w:color w:val="auto"/>
        </w:rPr>
      </w:pPr>
    </w:p>
    <w:p>
      <w:pPr>
        <w:ind w:right="220" w:firstLine="987"/>
        <w:spacing w:after="0" w:line="261"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71" w:lineRule="exact"/>
        <w:rPr>
          <w:rFonts w:ascii="Times New Roman" w:cs="Times New Roman" w:eastAsia="Times New Roman" w:hAnsi="Times New Roman"/>
          <w:sz w:val="18"/>
          <w:szCs w:val="18"/>
          <w:color w:val="auto"/>
        </w:rPr>
      </w:pPr>
    </w:p>
    <w:p>
      <w:pPr>
        <w:ind w:right="160" w:firstLine="987"/>
        <w:spacing w:after="0" w:line="256"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Times New Roman" w:cs="Times New Roman" w:eastAsia="Times New Roman" w:hAnsi="Times New Roman"/>
          <w:sz w:val="18"/>
          <w:szCs w:val="18"/>
          <w:u w:val="single" w:color="auto"/>
          <w:color w:val="auto"/>
        </w:rPr>
        <w:t>Section 6.01(a)(4)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survive the termination of this Indenture and the earlier resignation or removal of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Reliance on Officer’s Certificate or Opinion of Counsel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Disqualification; Conflicting Interests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ectPr>
          <w:pgSz w:w="11900" w:h="16838" w:orient="portrait"/>
          <w:cols w:equalWidth="0" w:num="1">
            <w:col w:w="11000"/>
          </w:cols>
          <w:pgMar w:left="440" w:top="270" w:right="45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Corporate Trustee Required; Eligibility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8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0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fail to comply with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5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cease to be eligible in accordance with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70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75" w:lineRule="exact"/>
        <w:rPr>
          <w:sz w:val="20"/>
          <w:szCs w:val="20"/>
          <w:color w:val="auto"/>
        </w:rPr>
      </w:pPr>
    </w:p>
    <w:p>
      <w:pPr>
        <w:ind w:firstLine="987"/>
        <w:spacing w:after="0" w:line="266"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ectPr>
          <w:pgSz w:w="11900" w:h="16838" w:orient="portrait"/>
          <w:cols w:equalWidth="0" w:num="1">
            <w:col w:w="11000"/>
          </w:cols>
          <w:pgMar w:left="440" w:top="270" w:right="459" w:bottom="1440" w:gutter="0" w:footer="0" w:header="0"/>
        </w:sectPr>
      </w:pPr>
    </w:p>
    <w:bookmarkStart w:id="101" w:name="page102"/>
    <w:bookmarkEnd w:id="101"/>
    <w:p>
      <w:pPr>
        <w:ind w:left="-440" w:right="160" w:firstLine="987"/>
        <w:spacing w:after="0" w:line="282" w:lineRule="auto"/>
        <w:tabs>
          <w:tab w:leader="none" w:pos="8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987"/>
        <w:spacing w:after="0" w:line="282" w:lineRule="auto"/>
        <w:tabs>
          <w:tab w:leader="none" w:pos="7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987"/>
        <w:spacing w:after="0" w:line="255" w:lineRule="auto"/>
        <w:tabs>
          <w:tab w:leader="none" w:pos="7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0" w:lineRule="exact"/>
        <w:rPr>
          <w:rFonts w:ascii="Times New Roman" w:cs="Times New Roman" w:eastAsia="Times New Roman" w:hAnsi="Times New Roman"/>
          <w:sz w:val="18"/>
          <w:szCs w:val="18"/>
          <w:color w:val="auto"/>
        </w:rPr>
      </w:pPr>
    </w:p>
    <w:p>
      <w:pPr>
        <w:ind w:left="-440" w:right="100" w:firstLine="987"/>
        <w:spacing w:after="0" w:line="252" w:lineRule="auto"/>
        <w:tabs>
          <w:tab w:leader="none" w:pos="8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2" w:lineRule="exact"/>
        <w:rPr>
          <w:rFonts w:ascii="Times New Roman" w:cs="Times New Roman" w:eastAsia="Times New Roman" w:hAnsi="Times New Roman"/>
          <w:sz w:val="18"/>
          <w:szCs w:val="18"/>
          <w:color w:val="auto"/>
        </w:rPr>
      </w:pPr>
    </w:p>
    <w:p>
      <w:pPr>
        <w:ind w:left="-440" w:right="140" w:firstLine="987"/>
        <w:spacing w:after="0" w:line="282" w:lineRule="auto"/>
        <w:tabs>
          <w:tab w:leader="none" w:pos="7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53" w:lineRule="exact"/>
        <w:rPr>
          <w:rFonts w:ascii="Times New Roman" w:cs="Times New Roman" w:eastAsia="Times New Roman" w:hAnsi="Times New Roman"/>
          <w:sz w:val="18"/>
          <w:szCs w:val="18"/>
          <w:color w:val="auto"/>
        </w:rPr>
      </w:pPr>
    </w:p>
    <w:p>
      <w:pPr>
        <w:ind w:left="-440" w:right="300" w:firstLine="987"/>
        <w:spacing w:after="0" w:line="282" w:lineRule="auto"/>
        <w:tabs>
          <w:tab w:leader="none" w:pos="8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53" w:lineRule="exact"/>
        <w:rPr>
          <w:rFonts w:ascii="Times New Roman" w:cs="Times New Roman" w:eastAsia="Times New Roman" w:hAnsi="Times New Roman"/>
          <w:sz w:val="18"/>
          <w:szCs w:val="18"/>
          <w:color w:val="auto"/>
        </w:rPr>
      </w:pPr>
    </w:p>
    <w:p>
      <w:pPr>
        <w:ind w:left="-440" w:firstLine="987"/>
        <w:spacing w:after="0" w:line="261" w:lineRule="auto"/>
        <w:tabs>
          <w:tab w:leader="none" w:pos="7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ectPr>
          <w:pgSz w:w="11900" w:h="16838" w:orient="portrait"/>
          <w:cols w:equalWidth="0" w:num="1">
            <w:col w:w="10560"/>
          </w:cols>
          <w:pgMar w:left="880" w:top="270" w:right="45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corporation shall be qualified under the provisions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eligible under the provisions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Preferential Collection of Claims Against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Evidence of Action by Securityholders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Whenever in this Indenture it 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ectPr>
          <w:pgSz w:w="11900" w:h="16838" w:orient="portrait"/>
          <w:cols w:equalWidth="0" w:num="1">
            <w:col w:w="11000"/>
          </w:cols>
          <w:pgMar w:left="440" w:top="270" w:right="45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Proof of Execution by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right="360" w:firstLine="987"/>
        <w:spacing w:after="0" w:line="282"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Who May be Deemed Owners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interest on such Security and for all other purposes; and neither the Company nor the Trustee nor any paying agent nor any Security Registrar shall be affected by any notice to the contrary.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Certain Securities Owned by Company Disregarded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Actions Binding on Future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At any time prior to (but not after) the evidencing to the Trustee,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ectPr>
          <w:pgSz w:w="11900" w:h="16838" w:orient="portrait"/>
          <w:cols w:equalWidth="0" w:num="1">
            <w:col w:w="11000"/>
          </w:cols>
          <w:pgMar w:left="440" w:top="270" w:right="4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the Consent of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68" w:lineRule="exact"/>
        <w:rPr>
          <w:sz w:val="20"/>
          <w:szCs w:val="20"/>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comply with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75"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5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73" w:lineRule="exact"/>
        <w:rPr>
          <w:sz w:val="20"/>
          <w:szCs w:val="20"/>
          <w:color w:val="auto"/>
        </w:rPr>
      </w:pPr>
    </w:p>
    <w:p>
      <w:pPr>
        <w:ind w:left="1240" w:hanging="253"/>
        <w:spacing w:after="0"/>
        <w:tabs>
          <w:tab w:leader="none" w:pos="12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or to appoint a separate trustee with respect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any series; or</w:t>
      </w:r>
    </w:p>
    <w:p>
      <w:pPr>
        <w:spacing w:after="0" w:line="98" w:lineRule="exact"/>
        <w:rPr>
          <w:rFonts w:ascii="Times New Roman" w:cs="Times New Roman" w:eastAsia="Times New Roman" w:hAnsi="Times New Roman"/>
          <w:sz w:val="17"/>
          <w:szCs w:val="17"/>
          <w:color w:val="auto"/>
        </w:rPr>
      </w:pPr>
    </w:p>
    <w:p>
      <w:pPr>
        <w:ind w:right="220" w:firstLine="987"/>
        <w:spacing w:after="0" w:line="282" w:lineRule="auto"/>
        <w:tabs>
          <w:tab w:leader="none" w:pos="120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jc w:val="both"/>
        <w:ind w:right="620" w:firstLine="44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Securityholders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the consent (evidenced as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w:t>
      </w:r>
    </w:p>
    <w:p>
      <w:pPr>
        <w:sectPr>
          <w:pgSz w:w="11900" w:h="16838" w:orient="portrait"/>
          <w:cols w:equalWidth="0" w:num="1">
            <w:col w:w="11000"/>
          </w:cols>
          <w:pgMar w:left="440" w:top="266" w:right="459" w:bottom="1440" w:gutter="0" w:footer="0" w:header="0"/>
        </w:sectPr>
      </w:pPr>
    </w:p>
    <w:bookmarkStart w:id="105" w:name="page106"/>
    <w:bookmarkEnd w:id="10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eliminating any of the provisions of this Indenture or of any supplemental indenture or of modifying in any manner not covered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rights of the holders of the Securities of such series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any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Securities Affected by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Securities of any series affected by a supplemental indenture, authenticated and delivered after the execution of such supplemental indenture pursuant to the provisions of this Article or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ectPr>
          <w:pgSz w:w="11900" w:h="16838" w:orient="portrait"/>
          <w:cols w:equalWidth="0" w:num="1">
            <w:col w:w="11000"/>
          </w:cols>
          <w:pgMar w:left="440" w:top="270" w:right="45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Company May Consolidate,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3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Successor Entity Substituted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87"/>
        <w:spacing w:after="0" w:line="281" w:lineRule="auto"/>
        <w:tabs>
          <w:tab w:leader="none" w:pos="12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56" w:lineRule="exact"/>
        <w:rPr>
          <w:rFonts w:ascii="Times New Roman" w:cs="Times New Roman" w:eastAsia="Times New Roman" w:hAnsi="Times New Roman"/>
          <w:sz w:val="17"/>
          <w:szCs w:val="17"/>
          <w:color w:val="auto"/>
        </w:rPr>
      </w:pPr>
    </w:p>
    <w:p>
      <w:pPr>
        <w:ind w:right="18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53"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Securities for</w:t>
      </w:r>
    </w:p>
    <w:p>
      <w:pPr>
        <w:sectPr>
          <w:pgSz w:w="11900" w:h="16838" w:orient="portrait"/>
          <w:cols w:equalWidth="0" w:num="1">
            <w:col w:w="10980"/>
          </w:cols>
          <w:pgMar w:left="440" w:top="266" w:right="479" w:bottom="1440" w:gutter="0" w:footer="0" w:header="0"/>
        </w:sectPr>
      </w:pPr>
    </w:p>
    <w:bookmarkStart w:id="107" w:name="page108"/>
    <w:bookmarkEnd w:id="10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whose payment money or Governmental Obligations have theretofore been deposited in trust or segregated and held in trust by the Company and thereupon repaid to the Company or discharged from such trust, as provided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2.07,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-21590</wp:posOffset>
            </wp:positionV>
            <wp:extent cx="2286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jc w:val="both"/>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that shall survive until the date of maturity or redemption date, as the case may be, and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Discharge of Obligations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at any time all such Securities of a particular series not heretofore delivered to the Trustee for cancellation or that have not become due and payable as described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hereof that shall survive until such Securities shall mature and be paid.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Thereafter, </w:t>
      </w:r>
      <w:r>
        <w:rPr>
          <w:rFonts w:ascii="Times New Roman" w:cs="Times New Roman" w:eastAsia="Times New Roman" w:hAnsi="Times New Roman"/>
          <w:sz w:val="18"/>
          <w:szCs w:val="18"/>
          <w:u w:val="single" w:color="auto"/>
          <w:color w:val="auto"/>
        </w:rPr>
        <w:t>Sections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shall survive.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Deposited Moneys to be Held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All moneys or Governmental Obligations deposited with the Trustee pursuant to </w:t>
      </w:r>
      <w:r>
        <w:rPr>
          <w:rFonts w:ascii="Times New Roman" w:cs="Times New Roman" w:eastAsia="Times New Roman" w:hAnsi="Times New Roman"/>
          <w:sz w:val="17"/>
          <w:szCs w:val="17"/>
          <w:u w:val="single" w:color="auto"/>
          <w:color w:val="auto"/>
        </w:rPr>
        <w:t>Sections 11.01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11.02</w:t>
      </w:r>
      <w:r>
        <w:rPr>
          <w:rFonts w:ascii="Times New Roman" w:cs="Times New Roman" w:eastAsia="Times New Roman" w:hAnsi="Times New Roman"/>
          <w:sz w:val="17"/>
          <w:szCs w:val="17"/>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Payment of Moneys Held by Paying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ectPr>
          <w:pgSz w:w="11900" w:h="16838" w:orient="portrait"/>
          <w:cols w:equalWidth="0" w:num="1">
            <w:col w:w="11000"/>
          </w:cols>
          <w:pgMar w:left="440" w:top="270" w:right="4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Effect on 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Actions by Successor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Surrender of Company Powers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w:t>
      </w:r>
    </w:p>
    <w:p>
      <w:pPr>
        <w:sectPr>
          <w:pgSz w:w="11900" w:h="16838" w:orient="portrait"/>
          <w:cols w:equalWidth="0" w:num="1">
            <w:col w:w="11000"/>
          </w:cols>
          <w:pgMar w:left="440" w:top="266" w:right="459" w:bottom="1440" w:gutter="0" w:footer="0" w:header="0"/>
        </w:sectPr>
      </w:pPr>
    </w:p>
    <w:bookmarkStart w:id="109" w:name="page110"/>
    <w:bookmarkEnd w:id="10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Governing Law; Jury Trial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Treatment of Securities as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Certificates and Opinions as to Conditions Precedent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87"/>
        <w:spacing w:after="0" w:line="261"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relating to the proposed action have been complied with and an Opinion of Counsel stating that in the opinion of such counsel all such covenants and conditions precedent have been complied with.</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Times New Roman" w:cs="Times New Roman" w:eastAsia="Times New Roman" w:hAnsi="Times New Roman"/>
          <w:sz w:val="18"/>
          <w:szCs w:val="18"/>
          <w:u w:val="single" w:color="auto"/>
          <w:color w:val="auto"/>
        </w:rPr>
        <w:t>Section 13.12</w:t>
      </w:r>
      <w:r>
        <w:rPr>
          <w:rFonts w:ascii="Times New Roman" w:cs="Times New Roman" w:eastAsia="Times New Roman" w:hAnsi="Times New Roman"/>
          <w:sz w:val="18"/>
          <w:szCs w:val="18"/>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Subordination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ectPr>
          <w:pgSz w:w="11900" w:h="16838" w:orient="portrait"/>
          <w:cols w:equalWidth="0" w:num="1">
            <w:col w:w="11000"/>
          </w:cols>
          <w:pgMar w:left="440" w:top="270"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Indenture to be duly executed all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 xml:space="preserve">AQUABOUNTY TECHNOLOGIES, INC., </w:t>
      </w:r>
      <w:r>
        <w:rPr>
          <w:rFonts w:ascii="Times New Roman" w:cs="Times New Roman" w:eastAsia="Times New Roman" w:hAnsi="Times New Roman"/>
          <w:sz w:val="17"/>
          <w:szCs w:val="17"/>
          <w:color w:val="auto"/>
        </w:rPr>
        <w:t>as Issuer</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5715</wp:posOffset>
            </wp:positionV>
            <wp:extent cx="2425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as Trustee</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5715</wp:posOffset>
            </wp:positionV>
            <wp:extent cx="2425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Form of Indenture</w:t>
      </w:r>
    </w:p>
    <w:p>
      <w:pPr>
        <w:sectPr>
          <w:pgSz w:w="11900" w:h="16838" w:orient="portrait"/>
          <w:cols w:equalWidth="0" w:num="1">
            <w:col w:w="10160"/>
          </w:cols>
          <w:pgMar w:left="880" w:top="266" w:right="859" w:bottom="1440" w:gutter="0" w:footer="0" w:header="0"/>
        </w:sectPr>
      </w:pPr>
    </w:p>
    <w:bookmarkStart w:id="112" w:name="page113"/>
    <w:bookmarkEnd w:id="1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 INDENTURE ACT CROSS-REFERENCE TABLE</w:t>
      </w:r>
      <w:r>
        <w:rPr>
          <w:rFonts w:ascii="Times New Roman" w:cs="Times New Roman" w:eastAsia="Times New Roman" w:hAnsi="Times New Roman"/>
          <w:sz w:val="15"/>
          <w:szCs w:val="15"/>
          <w:b w:val="1"/>
          <w:bCs w:val="1"/>
          <w:color w:val="auto"/>
        </w:rPr>
        <w:t>2</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5880" w:type="dxa"/>
            <w:vAlign w:val="bottom"/>
          </w:tcPr>
          <w:p>
            <w:pPr>
              <w:spacing w:after="0"/>
              <w:rPr>
                <w:sz w:val="16"/>
                <w:szCs w:val="16"/>
                <w:color w:val="auto"/>
              </w:rPr>
            </w:pPr>
          </w:p>
        </w:tc>
        <w:tc>
          <w:tcPr>
            <w:tcW w:w="1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85"/>
        </w:trPr>
        <w:tc>
          <w:tcPr>
            <w:tcW w:w="31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310(a)</w:t>
            </w:r>
          </w:p>
        </w:tc>
        <w:tc>
          <w:tcPr>
            <w:tcW w:w="5880" w:type="dxa"/>
            <w:vAlign w:val="bottom"/>
          </w:tcPr>
          <w:p>
            <w:pPr>
              <w:spacing w:after="0"/>
              <w:rPr>
                <w:sz w:val="16"/>
                <w:szCs w:val="16"/>
                <w:color w:val="auto"/>
              </w:rPr>
            </w:pPr>
          </w:p>
        </w:tc>
        <w:tc>
          <w:tcPr>
            <w:tcW w:w="19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3160" w:type="dxa"/>
            <w:vAlign w:val="bottom"/>
          </w:tcPr>
          <w:p>
            <w:pPr>
              <w:spacing w:after="0"/>
              <w:rPr>
                <w:sz w:val="19"/>
                <w:szCs w:val="19"/>
                <w:color w:val="auto"/>
              </w:rPr>
            </w:pP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31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29"/>
        </w:trPr>
        <w:tc>
          <w:tcPr>
            <w:tcW w:w="31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3160" w:type="dxa"/>
            <w:vAlign w:val="bottom"/>
          </w:tcPr>
          <w:p>
            <w:pPr>
              <w:spacing w:after="0"/>
              <w:rPr>
                <w:sz w:val="19"/>
                <w:szCs w:val="19"/>
                <w:color w:val="auto"/>
              </w:rPr>
            </w:pP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7.01(a)</w:t>
            </w:r>
          </w:p>
        </w:tc>
      </w:tr>
      <w:tr>
        <w:trPr>
          <w:trHeight w:val="230"/>
        </w:trPr>
        <w:tc>
          <w:tcPr>
            <w:tcW w:w="316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588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3160" w:type="dxa"/>
            <w:vAlign w:val="bottom"/>
          </w:tcPr>
          <w:p>
            <w:pPr>
              <w:spacing w:after="0"/>
              <w:rPr>
                <w:sz w:val="19"/>
                <w:szCs w:val="19"/>
                <w:color w:val="auto"/>
              </w:rPr>
            </w:pP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86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380" w:hanging="424"/>
        <w:spacing w:after="0" w:line="282" w:lineRule="auto"/>
        <w:tabs>
          <w:tab w:leader="none" w:pos="424"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24"/>
          </w:cols>
          <w:pgMar w:left="436" w:top="266"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color w:val="auto"/>
        </w:rPr>
        <w:t xml:space="preserve">Goodwin Procter </w:t>
      </w:r>
      <w:r>
        <w:rPr>
          <w:rFonts w:ascii="Times New Roman" w:cs="Times New Roman" w:eastAsia="Times New Roman" w:hAnsi="Times New Roman"/>
          <w:sz w:val="11"/>
          <w:szCs w:val="11"/>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1714500" cy="3771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ind w:left="8920"/>
        <w:spacing w:after="0" w:line="226" w:lineRule="auto"/>
        <w:rPr>
          <w:sz w:val="20"/>
          <w:szCs w:val="20"/>
          <w:color w:val="auto"/>
        </w:rPr>
      </w:pPr>
      <w:r>
        <w:rPr>
          <w:rFonts w:ascii="Times New Roman" w:cs="Times New Roman" w:eastAsia="Times New Roman" w:hAnsi="Times New Roman"/>
          <w:sz w:val="14"/>
          <w:szCs w:val="14"/>
          <w:color w:val="auto"/>
        </w:rPr>
        <w:t>100 Northern Avenue</w:t>
      </w:r>
    </w:p>
    <w:p>
      <w:pPr>
        <w:ind w:left="8920"/>
        <w:spacing w:after="0"/>
        <w:rPr>
          <w:sz w:val="20"/>
          <w:szCs w:val="20"/>
          <w:color w:val="auto"/>
        </w:rPr>
      </w:pPr>
      <w:r>
        <w:rPr>
          <w:rFonts w:ascii="Times New Roman" w:cs="Times New Roman" w:eastAsia="Times New Roman" w:hAnsi="Times New Roman"/>
          <w:sz w:val="14"/>
          <w:szCs w:val="14"/>
          <w:color w:val="auto"/>
        </w:rPr>
        <w:t>Boston, MA 02210</w:t>
      </w:r>
    </w:p>
    <w:p>
      <w:pPr>
        <w:spacing w:after="0" w:line="21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color w:val="auto"/>
        </w:rPr>
        <w:t>goodwinlaw.com</w:t>
      </w:r>
    </w:p>
    <w:p>
      <w:pPr>
        <w:spacing w:after="0" w:line="23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color w:val="auto"/>
        </w:rPr>
        <w:t>+1 617 570 1000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Mill &amp; Main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Maynard, MA 01754</w:t>
      </w:r>
    </w:p>
    <w:p>
      <w:pPr>
        <w:spacing w:after="0" w:line="207" w:lineRule="exact"/>
        <w:rPr>
          <w:sz w:val="20"/>
          <w:szCs w:val="20"/>
          <w:color w:val="auto"/>
        </w:rPr>
      </w:pPr>
    </w:p>
    <w:p>
      <w:pPr>
        <w:jc w:val="center"/>
        <w:ind w:right="20"/>
        <w:spacing w:after="0"/>
        <w:tabs>
          <w:tab w:leader="none" w:pos="1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S-3</w:t>
      </w:r>
    </w:p>
    <w:p>
      <w:pPr>
        <w:spacing w:after="0" w:line="22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offering by AquaBounty Technologies, Inc., a Delaware corporation (the “Company”) of up to $200,000,000 of any combination of (i) common stock, par value $0.001 per share (the “Common Stock”), of the Company, (ii) preferred stock, par value $0.01 per share, of the Company (the “Preferred Stock”), (iii) debt securities of the Company (“Debt Securities”), (iv) warrants to purchase Common Stock, Preferred Stock, Debt Securities or Units (as defined below) (“Warrants”) and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7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w:t>
      </w:r>
    </w:p>
    <w:p>
      <w:pPr>
        <w:sectPr>
          <w:pgSz w:w="11900" w:h="16838" w:orient="portrait"/>
          <w:cols w:equalWidth="0" w:num="1">
            <w:col w:w="11020"/>
          </w:cols>
          <w:pgMar w:left="440" w:top="117"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14500" cy="3771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77190"/>
                    </a:xfrm>
                    <a:prstGeom prst="rect">
                      <a:avLst/>
                    </a:prstGeom>
                    <a:noFill/>
                  </pic:spPr>
                </pic:pic>
              </a:graphicData>
            </a:graphic>
          </wp:anchor>
        </w:drawing>
        <w:t>AquaBounty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available for issuance under the Company’s certificate of incorporation as then in effect (the “Charter”).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960" w:hanging="424"/>
        <w:spacing w:after="0" w:line="261" w:lineRule="auto"/>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85" w:lineRule="exact"/>
        <w:rPr>
          <w:rFonts w:ascii="Times New Roman" w:cs="Times New Roman" w:eastAsia="Times New Roman" w:hAnsi="Times New Roman"/>
          <w:sz w:val="18"/>
          <w:szCs w:val="18"/>
          <w:color w:val="auto"/>
        </w:rPr>
      </w:pPr>
    </w:p>
    <w:p>
      <w:pPr>
        <w:ind w:left="960" w:right="40" w:hanging="424"/>
        <w:spacing w:after="0" w:line="289" w:lineRule="auto"/>
        <w:tabs>
          <w:tab w:leader="none" w:pos="9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63" w:lineRule="exact"/>
        <w:rPr>
          <w:rFonts w:ascii="Times New Roman" w:cs="Times New Roman" w:eastAsia="Times New Roman" w:hAnsi="Times New Roman"/>
          <w:sz w:val="17"/>
          <w:szCs w:val="17"/>
          <w:color w:val="auto"/>
        </w:rPr>
      </w:pPr>
    </w:p>
    <w:p>
      <w:pPr>
        <w:ind w:left="960" w:right="80" w:hanging="424"/>
        <w:spacing w:after="0" w:line="261" w:lineRule="auto"/>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85"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ectPr>
          <w:pgSz w:w="11900" w:h="16838" w:orient="portrait"/>
          <w:cols w:equalWidth="0" w:num="1">
            <w:col w:w="10960"/>
          </w:cols>
          <w:pgMar w:left="440" w:top="1080"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14500" cy="3771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377190"/>
                    </a:xfrm>
                    <a:prstGeom prst="rect">
                      <a:avLst/>
                    </a:prstGeom>
                    <a:noFill/>
                  </pic:spPr>
                </pic:pic>
              </a:graphicData>
            </a:graphic>
          </wp:anchor>
        </w:drawing>
        <w:t>AquaBounty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80" w:firstLine="436"/>
        <w:spacing w:after="0" w:line="282" w:lineRule="auto"/>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shares of Common Stock, such shares of Common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shares of Preferred Stock, such shares of Preferred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Debt Securities, such Debt Securities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Warrants, such Warrants will be valid and binding obligations of the Company.</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opinions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80"/>
          </w:cols>
          <w:pgMar w:left="440" w:top="1080" w:right="4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AquaBounty Technologies, Inc. of our report dated March 10, 2020, relating to our audit of the consolidated financial statements of AquaBounty Technologies, Inc. appearing in the Annual Report on Form 10-K of AquaBounty Technologies, Inc. for the year ended December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the Prospectus that is a part of this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Wolf &amp; Company,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1)"/>
      <w:numFmt w:val="lowerLetter"/>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1)"/>
      <w:numFmt w:val="decimal"/>
      <w:start w:val="3"/>
    </w:lvl>
    <w:lvl w:ilvl="1">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1)"/>
      <w:numFmt w:val="decimal"/>
      <w:start w:val="1"/>
    </w:lvl>
  </w:abstractNum>
  <w:abstractNum w:abstractNumId="29">
    <w:nsid w:val="42963E5A"/>
    <w:multiLevelType w:val="hybridMultilevel"/>
    <w:lvl w:ilvl="0">
      <w:lvlJc w:val="left"/>
      <w:lvlText w:val="(%1)"/>
      <w:numFmt w:val="lowerLetter"/>
      <w:start w:val="1"/>
    </w:lvl>
    <w:lvl w:ilvl="1">
      <w:lvlJc w:val="left"/>
      <w:lvlText w:val="(%2)"/>
      <w:numFmt w:val="decimal"/>
      <w:start w:val="1"/>
    </w:lvl>
  </w:abstractNum>
  <w:abstractNum w:abstractNumId="30">
    <w:nsid w:val="A0382C5"/>
    <w:multiLevelType w:val="hybridMultilevel"/>
    <w:lvl w:ilvl="0">
      <w:lvlJc w:val="left"/>
      <w:lvlText w:val="(%1)"/>
      <w:numFmt w:val="lowerRoman"/>
      <w:start w:val="1"/>
    </w:lvl>
  </w:abstractNum>
  <w:abstractNum w:abstractNumId="31">
    <w:nsid w:val="8F2B15E"/>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2">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3B0FD37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68EB2F63"/>
    <w:multiLevelType w:val="hybridMultilevel"/>
    <w:lvl w:ilvl="0">
      <w:lvlJc w:val="left"/>
      <w:lvlText w:val="1"/>
      <w:numFmt w:val="bullet"/>
      <w:start w:val="1"/>
    </w:lvl>
  </w:abstractNum>
  <w:abstractNum w:abstractNumId="35">
    <w:nsid w:val="4962813B"/>
    <w:multiLevelType w:val="hybridMultilevel"/>
    <w:lvl w:ilvl="0">
      <w:lvlJc w:val="left"/>
      <w:lvlText w:val="(%1)"/>
      <w:numFmt w:val="decimal"/>
      <w:start w:val="1"/>
    </w:lvl>
  </w:abstractNum>
  <w:abstractNum w:abstractNumId="36">
    <w:nsid w:val="60B6DF70"/>
    <w:multiLevelType w:val="hybridMultilevel"/>
    <w:lvl w:ilvl="0">
      <w:lvlJc w:val="left"/>
      <w:lvlText w:val="(%1)"/>
      <w:numFmt w:val="decimal"/>
      <w:start w:val="3"/>
    </w:lvl>
  </w:abstractNum>
  <w:abstractNum w:abstractNumId="37">
    <w:nsid w:val="6A5EE64"/>
    <w:multiLevelType w:val="hybridMultilevel"/>
    <w:lvl w:ilvl="0">
      <w:lvlJc w:val="left"/>
      <w:lvlText w:val="(%1)"/>
      <w:numFmt w:val="lowerLetter"/>
      <w:start w:val="1"/>
    </w:lvl>
    <w:lvl w:ilvl="1">
      <w:lvlJc w:val="left"/>
      <w:lvlText w:val="(%2)"/>
      <w:numFmt w:val="decimal"/>
      <w:start w:val="1"/>
    </w:lvl>
  </w:abstractNum>
  <w:abstractNum w:abstractNumId="38">
    <w:nsid w:val="14330624"/>
    <w:multiLevelType w:val="hybridMultilevel"/>
    <w:lvl w:ilvl="0">
      <w:lvlJc w:val="left"/>
      <w:lvlText w:val="(%1)"/>
      <w:numFmt w:val="decimal"/>
      <w:start w:val="9"/>
    </w:lvl>
  </w:abstractNum>
  <w:abstractNum w:abstractNumId="39">
    <w:nsid w:val="7FFFCA11"/>
    <w:multiLevelType w:val="hybridMultilevel"/>
    <w:lvl w:ilvl="0">
      <w:lvlJc w:val="left"/>
      <w:lvlText w:val="(%1)"/>
      <w:numFmt w:val="decimal"/>
      <w:start w:val="21"/>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3"/>
    </w:lvl>
  </w:abstractNum>
  <w:abstractNum w:abstractNumId="43">
    <w:nsid w:val="7FB7E0AA"/>
    <w:multiLevelType w:val="hybridMultilevel"/>
    <w:lvl w:ilvl="0">
      <w:lvlJc w:val="left"/>
      <w:lvlText w:val="(%1)"/>
      <w:numFmt w:val="lowerLetter"/>
      <w:start w:val="1"/>
    </w:lvl>
  </w:abstractNum>
  <w:abstractNum w:abstractNumId="44">
    <w:nsid w:val="6EB5BD4"/>
    <w:multiLevelType w:val="hybridMultilevel"/>
    <w:lvl w:ilvl="0">
      <w:lvlJc w:val="left"/>
      <w:lvlText w:val="(%1)"/>
      <w:numFmt w:val="lowerLetter"/>
      <w:start w:val="2"/>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lowerLetter"/>
      <w:start w:val="2"/>
    </w:lvl>
  </w:abstractNum>
  <w:abstractNum w:abstractNumId="47">
    <w:nsid w:val="885E1B"/>
    <w:multiLevelType w:val="hybridMultilevel"/>
    <w:lvl w:ilvl="0">
      <w:lvlJc w:val="left"/>
      <w:lvlText w:val="(%1)"/>
      <w:numFmt w:val="lowerLetter"/>
      <w:start w:val="1"/>
    </w:lvl>
  </w:abstractNum>
  <w:abstractNum w:abstractNumId="48">
    <w:nsid w:val="76272110"/>
    <w:multiLevelType w:val="hybridMultilevel"/>
    <w:lvl w:ilvl="0">
      <w:lvlJc w:val="left"/>
      <w:lvlText w:val="(%1)"/>
      <w:numFmt w:val="lowerLetter"/>
      <w:start w:val="1"/>
    </w:lvl>
    <w:lvl w:ilvl="1">
      <w:lvlJc w:val="left"/>
      <w:lvlText w:val="(%2)"/>
      <w:numFmt w:val="decimal"/>
      <w:start w:val="1"/>
    </w:lvl>
  </w:abstractNum>
  <w:abstractNum w:abstractNumId="49">
    <w:nsid w:val="4C04A8AF"/>
    <w:multiLevelType w:val="hybridMultilevel"/>
    <w:lvl w:ilvl="0">
      <w:lvlJc w:val="left"/>
      <w:lvlText w:val="(%1)"/>
      <w:numFmt w:val="lowerLetter"/>
      <w:start w:val="1"/>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2"/>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Letter"/>
      <w:start w:val="1"/>
    </w:lvl>
    <w:lvl w:ilvl="1">
      <w:lvlJc w:val="left"/>
      <w:lvlText w:val="(%2)"/>
      <w:numFmt w:val="decimal"/>
      <w:start w:val="1"/>
    </w:lvl>
  </w:abstractNum>
  <w:abstractNum w:abstractNumId="54">
    <w:nsid w:val="68EBC550"/>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55">
    <w:nsid w:val="2DF6D648"/>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6">
    <w:nsid w:val="46B7D447"/>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57">
    <w:nsid w:val="4A2AC315"/>
    <w:multiLevelType w:val="hybridMultilevel"/>
    <w:lvl w:ilvl="0">
      <w:lvlJc w:val="left"/>
      <w:lvlText w:val="(%1)"/>
      <w:numFmt w:val="lowerLetter"/>
      <w:start w:val="4"/>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2"/>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2">
    <w:nsid w:val="60EF0119"/>
    <w:multiLevelType w:val="hybridMultilevel"/>
    <w:lvl w:ilvl="0">
      <w:lvlJc w:val="left"/>
      <w:lvlText w:val="%1"/>
      <w:numFmt w:val="decimal"/>
      <w:start w:val="1"/>
    </w:lvl>
    <w:lvl w:ilvl="1">
      <w:lvlJc w:val="left"/>
      <w:lvlText w:val="(%2)"/>
      <w:numFmt w:val="upperLetter"/>
      <w:start w:val="2"/>
    </w:lvl>
  </w:abstractNum>
  <w:abstractNum w:abstractNumId="63">
    <w:nsid w:val="26F324BA"/>
    <w:multiLevelType w:val="hybridMultilevel"/>
    <w:lvl w:ilvl="0">
      <w:lvlJc w:val="left"/>
      <w:lvlText w:val="(%1)"/>
      <w:numFmt w:val="decimal"/>
      <w:start w:val="2"/>
    </w:lvl>
    <w:lvl w:ilvl="1">
      <w:lvlJc w:val="left"/>
      <w:lvlText w:val="%2"/>
      <w:numFmt w:val="upperLetter"/>
      <w:start w:val="1"/>
    </w:lvl>
  </w:abstractNum>
  <w:abstractNum w:abstractNumId="64">
    <w:nsid w:val="7F01579B"/>
    <w:multiLevelType w:val="hybridMultilevel"/>
    <w:lvl w:ilvl="0">
      <w:lvlJc w:val="left"/>
      <w:lvlText w:val="(%1)"/>
      <w:numFmt w:val="lowerLetter"/>
      <w:start w:val="1"/>
    </w:lvl>
  </w:abstractNum>
  <w:abstractNum w:abstractNumId="65">
    <w:nsid w:val="49DA307D"/>
    <w:multiLevelType w:val="hybridMultilevel"/>
    <w:lvl w:ilvl="0">
      <w:lvlJc w:val="left"/>
      <w:lvlText w:val="(%1)"/>
      <w:numFmt w:val="lowerLetter"/>
      <w:start w:val="7"/>
    </w:lvl>
  </w:abstractNum>
  <w:abstractNum w:abstractNumId="66">
    <w:nsid w:val="7055A5F5"/>
    <w:multiLevelType w:val="hybridMultilevel"/>
    <w:lvl w:ilvl="0">
      <w:lvlJc w:val="left"/>
      <w:lvlText w:val="(%1)"/>
      <w:numFmt w:val="lowerLetter"/>
      <w:start w:val="1"/>
    </w:lvl>
  </w:abstractNum>
  <w:abstractNum w:abstractNumId="67">
    <w:nsid w:val="5FB8370B"/>
    <w:multiLevelType w:val="hybridMultilevel"/>
    <w:lvl w:ilvl="0">
      <w:lvlJc w:val="left"/>
      <w:lvlText w:val="(%1)"/>
      <w:numFmt w:val="lowerLetter"/>
      <w:start w:val="1"/>
    </w:lvl>
  </w:abstractNum>
  <w:abstractNum w:abstractNumId="68">
    <w:nsid w:val="50801EE1"/>
    <w:multiLevelType w:val="hybridMultilevel"/>
    <w:lvl w:ilvl="0">
      <w:lvlJc w:val="left"/>
      <w:lvlText w:val="(%1)"/>
      <w:numFmt w:val="lowerLetter"/>
      <w:start w:val="1"/>
    </w:lvl>
    <w:lvl w:ilvl="1">
      <w:lvlJc w:val="left"/>
      <w:lvlText w:val="(%2)"/>
      <w:numFmt w:val="lowerRoman"/>
      <w:start w:val="1"/>
    </w:lvl>
  </w:abstractNum>
  <w:abstractNum w:abstractNumId="69">
    <w:nsid w:val="488AC1A"/>
    <w:multiLevelType w:val="hybridMultilevel"/>
    <w:lvl w:ilvl="0">
      <w:lvlJc w:val="left"/>
      <w:lvlText w:val="(%1)"/>
      <w:numFmt w:val="lowerLetter"/>
      <w:start w:val="3"/>
    </w:lvl>
  </w:abstractNum>
  <w:abstractNum w:abstractNumId="70">
    <w:nsid w:val="5FB8011C"/>
    <w:multiLevelType w:val="hybridMultilevel"/>
    <w:lvl w:ilvl="0">
      <w:lvlJc w:val="left"/>
      <w:lvlText w:val="(%1)"/>
      <w:numFmt w:val="lowerLetter"/>
      <w:start w:val="4"/>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2"/>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8"/>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2"/>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2"/>
      <w:numFmt w:val="bullet"/>
      <w:start w:val="1"/>
    </w:lvl>
  </w:abstractNum>
  <w:abstractNum w:abstractNumId="79">
    <w:nsid w:val="555C55B5"/>
    <w:multiLevelType w:val="hybridMultilevel"/>
    <w:lvl w:ilvl="0">
      <w:lvlJc w:val="left"/>
      <w:lvlText w:val="1"/>
      <w:numFmt w:val="bullet"/>
      <w:start w:val="1"/>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1)"/>
      <w:numFmt w:val="decimal"/>
      <w:start w:val="3"/>
    </w:lvl>
  </w:abstractNum>
  <w:abstractNum w:abstractNumId="82">
    <w:nsid w:val="6A3DD3E8"/>
    <w:multiLevelType w:val="hybridMultilevel"/>
    <w:lvl w:ilvl="0">
      <w:lvlJc w:val="left"/>
      <w:lvlText w:val="(%1)"/>
      <w:numFmt w:val="lowerLetter"/>
      <w:start w:val="1"/>
    </w:lvl>
    <w:lvl w:ilvl="1">
      <w:lvlJc w:val="left"/>
      <w:lvlText w:val="(%2)"/>
      <w:numFmt w:val="decimal"/>
      <w:start w:val="1"/>
    </w:lvl>
  </w:abstractNum>
  <w:abstractNum w:abstractNumId="83">
    <w:nsid w:val="71C91298"/>
    <w:multiLevelType w:val="hybridMultilevel"/>
    <w:lvl w:ilvl="0">
      <w:lvlJc w:val="left"/>
      <w:lvlText w:val="(%1)"/>
      <w:numFmt w:val="decimal"/>
      <w:start w:val="9"/>
    </w:lvl>
  </w:abstractNum>
  <w:abstractNum w:abstractNumId="84">
    <w:nsid w:val="9DAF632"/>
    <w:multiLevelType w:val="hybridMultilevel"/>
    <w:lvl w:ilvl="0">
      <w:lvlJc w:val="left"/>
      <w:lvlText w:val="(%1)"/>
      <w:numFmt w:val="decimal"/>
      <w:start w:val="21"/>
    </w:lvl>
  </w:abstractNum>
  <w:abstractNum w:abstractNumId="85">
    <w:nsid w:val="53299938"/>
    <w:multiLevelType w:val="hybridMultilevel"/>
    <w:lvl w:ilvl="0">
      <w:lvlJc w:val="left"/>
      <w:lvlText w:val="(%1)"/>
      <w:numFmt w:val="decimal"/>
      <w:start w:val="1"/>
    </w:lvl>
  </w:abstractNum>
  <w:abstractNum w:abstractNumId="86">
    <w:nsid w:val="1FBFE8E0"/>
    <w:multiLevelType w:val="hybridMultilevel"/>
    <w:lvl w:ilvl="0">
      <w:lvlJc w:val="left"/>
      <w:lvlText w:val="(%1)"/>
      <w:numFmt w:val="lowerLetter"/>
      <w:start w:val="1"/>
    </w:lvl>
  </w:abstractNum>
  <w:abstractNum w:abstractNumId="87">
    <w:nsid w:val="5092CA79"/>
    <w:multiLevelType w:val="hybridMultilevel"/>
    <w:lvl w:ilvl="0">
      <w:lvlJc w:val="left"/>
      <w:lvlText w:val="(%1)"/>
      <w:numFmt w:val="lowerLetter"/>
      <w:start w:val="3"/>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2"/>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2"/>
    </w:lvl>
  </w:abstractNum>
  <w:abstractNum w:abstractNumId="93">
    <w:nsid w:val="97E1B4E"/>
    <w:multiLevelType w:val="hybridMultilevel"/>
    <w:lvl w:ilvl="0">
      <w:lvlJc w:val="left"/>
      <w:lvlText w:val="(%1)"/>
      <w:numFmt w:val="lowerLetter"/>
      <w:start w:val="1"/>
    </w:lvl>
    <w:lvl w:ilvl="1">
      <w:lvlJc w:val="left"/>
      <w:lvlText w:val="(%2)"/>
      <w:numFmt w:val="decimal"/>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1"/>
    </w:lvl>
  </w:abstractNum>
  <w:abstractNum w:abstractNumId="96">
    <w:nsid w:val="53584BCB"/>
    <w:multiLevelType w:val="hybridMultilevel"/>
    <w:lvl w:ilvl="0">
      <w:lvlJc w:val="left"/>
      <w:lvlText w:val="(%1)"/>
      <w:numFmt w:val="lowerLetter"/>
      <w:start w:val="2"/>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Letter"/>
      <w:start w:val="1"/>
    </w:lvl>
    <w:lvl w:ilvl="1">
      <w:lvlJc w:val="left"/>
      <w:lvlText w:val="(%2)"/>
      <w:numFmt w:val="decimal"/>
      <w:start w:val="1"/>
    </w:lvl>
  </w:abstractNum>
  <w:abstractNum w:abstractNumId="99">
    <w:nsid w:val="23D86AA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00">
    <w:nsid w:val="45E6D48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01">
    <w:nsid w:val="5C10FE21"/>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102">
    <w:nsid w:val="E7FFA2B"/>
    <w:multiLevelType w:val="hybridMultilevel"/>
    <w:lvl w:ilvl="0">
      <w:lvlJc w:val="left"/>
      <w:lvlText w:val="(%1)"/>
      <w:numFmt w:val="lowerLetter"/>
      <w:start w:val="4"/>
    </w:lvl>
  </w:abstractNum>
  <w:abstractNum w:abstractNumId="103">
    <w:nsid w:val="3C5991AA"/>
    <w:multiLevelType w:val="hybridMultilevel"/>
    <w:lvl w:ilvl="0">
      <w:lvlJc w:val="left"/>
      <w:lvlText w:val="(%1)"/>
      <w:numFmt w:val="lowerLetter"/>
      <w:start w:val="1"/>
    </w:lvl>
  </w:abstractNum>
  <w:abstractNum w:abstractNumId="104">
    <w:nsid w:val="4BD8591A"/>
    <w:multiLevelType w:val="hybridMultilevel"/>
    <w:lvl w:ilvl="0">
      <w:lvlJc w:val="left"/>
      <w:lvlText w:val="(%1)"/>
      <w:numFmt w:val="lowerLetter"/>
      <w:start w:val="2"/>
    </w:lvl>
  </w:abstractNum>
  <w:abstractNum w:abstractNumId="105">
    <w:nsid w:val="78DF6A55"/>
    <w:multiLevelType w:val="hybridMultilevel"/>
    <w:lvl w:ilvl="0">
      <w:lvlJc w:val="left"/>
      <w:lvlText w:val="(%1)"/>
      <w:numFmt w:val="lowerLetter"/>
      <w:start w:val="1"/>
    </w:lvl>
  </w:abstractNum>
  <w:abstractNum w:abstractNumId="106">
    <w:nsid w:val="39B7AAA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7">
    <w:nsid w:val="2B0D8DBE"/>
    <w:multiLevelType w:val="hybridMultilevel"/>
    <w:lvl w:ilvl="0">
      <w:lvlJc w:val="left"/>
      <w:lvlText w:val="%1"/>
      <w:numFmt w:val="decimal"/>
      <w:start w:val="1"/>
    </w:lvl>
    <w:lvl w:ilvl="1">
      <w:lvlJc w:val="left"/>
      <w:lvlText w:val="(%2)"/>
      <w:numFmt w:val="upperLetter"/>
      <w:start w:val="2"/>
    </w:lvl>
  </w:abstractNum>
  <w:abstractNum w:abstractNumId="108">
    <w:nsid w:val="6C80EC70"/>
    <w:multiLevelType w:val="hybridMultilevel"/>
    <w:lvl w:ilvl="0">
      <w:lvlJc w:val="left"/>
      <w:lvlText w:val="(%1)"/>
      <w:numFmt w:val="decimal"/>
      <w:start w:val="2"/>
    </w:lvl>
    <w:lvl w:ilvl="1">
      <w:lvlJc w:val="left"/>
      <w:lvlText w:val="%2"/>
      <w:numFmt w:val="upperLetter"/>
      <w:start w:val="1"/>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Letter"/>
      <w:start w:val="6"/>
    </w:lvl>
  </w:abstractNum>
  <w:abstractNum w:abstractNumId="111">
    <w:nsid w:val="2C27173B"/>
    <w:multiLevelType w:val="hybridMultilevel"/>
    <w:lvl w:ilvl="0">
      <w:lvlJc w:val="left"/>
      <w:lvlText w:val="(%1)"/>
      <w:numFmt w:val="lowerLetter"/>
      <w:start w:val="1"/>
    </w:lvl>
  </w:abstractNum>
  <w:abstractNum w:abstractNumId="112">
    <w:nsid w:val="4C9B0904"/>
    <w:multiLevelType w:val="hybridMultilevel"/>
    <w:lvl w:ilvl="0">
      <w:lvlJc w:val="left"/>
      <w:lvlText w:val="(%1)"/>
      <w:numFmt w:val="lowerLetter"/>
      <w:start w:val="1"/>
    </w:lvl>
  </w:abstractNum>
  <w:abstractNum w:abstractNumId="113">
    <w:nsid w:val="6AA7B75C"/>
    <w:multiLevelType w:val="hybridMultilevel"/>
    <w:lvl w:ilvl="0">
      <w:lvlJc w:val="left"/>
      <w:lvlText w:val="(%1)"/>
      <w:numFmt w:val="lowerLetter"/>
      <w:start w:val="1"/>
    </w:lvl>
    <w:lvl w:ilvl="1">
      <w:lvlJc w:val="left"/>
      <w:lvlText w:val="(%2)"/>
      <w:numFmt w:val="lowerRoman"/>
      <w:start w:val="1"/>
    </w:lvl>
  </w:abstractNum>
  <w:abstractNum w:abstractNumId="114">
    <w:nsid w:val="1DF029D3"/>
    <w:multiLevelType w:val="hybridMultilevel"/>
    <w:lvl w:ilvl="0">
      <w:lvlJc w:val="left"/>
      <w:lvlText w:val="(%1)"/>
      <w:numFmt w:val="lowerLetter"/>
      <w:start w:val="3"/>
    </w:lvl>
  </w:abstractNum>
  <w:abstractNum w:abstractNumId="115">
    <w:nsid w:val="5675FF36"/>
    <w:multiLevelType w:val="hybridMultilevel"/>
    <w:lvl w:ilvl="0">
      <w:lvlJc w:val="left"/>
      <w:lvlText w:val="(%1)"/>
      <w:numFmt w:val="lowerLetter"/>
      <w:start w:val="4"/>
    </w:lvl>
  </w:abstractNum>
  <w:abstractNum w:abstractNumId="116">
    <w:nsid w:val="3DD15094"/>
    <w:multiLevelType w:val="hybridMultilevel"/>
    <w:lvl w:ilvl="0">
      <w:lvlJc w:val="left"/>
      <w:lvlText w:val="(%1)"/>
      <w:numFmt w:val="lowerLetter"/>
      <w:start w:val="1"/>
    </w:lvl>
  </w:abstractNum>
  <w:abstractNum w:abstractNumId="117">
    <w:nsid w:val="3DB012B3"/>
    <w:multiLevelType w:val="hybridMultilevel"/>
    <w:lvl w:ilvl="0">
      <w:lvlJc w:val="left"/>
      <w:lvlText w:val="(%1)"/>
      <w:numFmt w:val="lowerLetter"/>
      <w:start w:val="2"/>
    </w:lvl>
  </w:abstractNum>
  <w:abstractNum w:abstractNumId="118">
    <w:nsid w:val="2708C9AF"/>
    <w:multiLevelType w:val="hybridMultilevel"/>
    <w:lvl w:ilvl="0">
      <w:lvlJc w:val="left"/>
      <w:lvlText w:val="(%1)"/>
      <w:numFmt w:val="lowerLetter"/>
      <w:start w:val="1"/>
    </w:lvl>
  </w:abstractNum>
  <w:abstractNum w:abstractNumId="119">
    <w:nsid w:val="5B25ACE2"/>
    <w:multiLevelType w:val="hybridMultilevel"/>
    <w:lvl w:ilvl="0">
      <w:lvlJc w:val="left"/>
      <w:lvlText w:val="(%1)"/>
      <w:numFmt w:val="lowerLetter"/>
      <w:start w:val="8"/>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lowerLetter"/>
      <w:start w:val="1"/>
    </w:lvl>
  </w:abstractNum>
  <w:abstractNum w:abstractNumId="122">
    <w:nsid w:val="53B0A9E"/>
    <w:multiLevelType w:val="hybridMultilevel"/>
    <w:lvl w:ilvl="0">
      <w:lvlJc w:val="left"/>
      <w:lvlText w:val="2"/>
      <w:numFmt w:val="bullet"/>
      <w:start w:val="1"/>
    </w:lvl>
  </w:abstractNum>
  <w:abstractNum w:abstractNumId="123">
    <w:nsid w:val="34FD6B4F"/>
    <w:multiLevelType w:val="hybridMultilevel"/>
    <w:lvl w:ilvl="0">
      <w:lvlJc w:val="left"/>
      <w:lvlText w:val="•"/>
      <w:numFmt w:val="bullet"/>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jpe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jpeg"/><Relationship Id="rId186" Type="http://schemas.openxmlformats.org/officeDocument/2006/relationships/image" Target="media/image160.png"/><Relationship Id="rId187" Type="http://schemas.openxmlformats.org/officeDocument/2006/relationships/image" Target="media/image161.jpeg"/><Relationship Id="rId188" Type="http://schemas.openxmlformats.org/officeDocument/2006/relationships/image" Target="media/image162.png"/><Relationship Id="rId189" Type="http://schemas.openxmlformats.org/officeDocument/2006/relationships/image" Target="media/image163.jpeg"/><Relationship Id="rId51" Type="http://schemas.openxmlformats.org/officeDocument/2006/relationships/hyperlink" Target="http://www.sec.gov/Archives/edgar/data/1603978/000160397820000072/aqb2020definitiveproxy.htm" TargetMode="External"/><Relationship Id="rId52" Type="http://schemas.openxmlformats.org/officeDocument/2006/relationships/hyperlink" Target="http://www.sec.gov/Archives/edgar/data/1603978/000160397820000083/aqb10-q2020x03x31.htm" TargetMode="External"/><Relationship Id="rId53" Type="http://schemas.openxmlformats.org/officeDocument/2006/relationships/hyperlink" Target="http://www.sec.gov/ix?doc=/Archives/edgar/data/1603978/000160397820000099/a10q-2020x06x30.htm" TargetMode="External"/><Relationship Id="rId54" Type="http://schemas.openxmlformats.org/officeDocument/2006/relationships/hyperlink" Target="http://www.sec.gov/ix?doc=/Archives/edgar/data/1603978/000160397820000129/aqb-20200930.htm" TargetMode="External"/><Relationship Id="rId55" Type="http://schemas.openxmlformats.org/officeDocument/2006/relationships/hyperlink" Target="http://www.sec.gov/Archives/edgar/data/1603978/000160397820000008/aqb8k-2020x01x27.htm" TargetMode="External"/><Relationship Id="rId56" Type="http://schemas.openxmlformats.org/officeDocument/2006/relationships/hyperlink" Target="http://www.sec.gov/Archives/edgar/data/1603978/000160397820000025/aqb8k-2020x02x11.htm" TargetMode="External"/><Relationship Id="rId57" Type="http://schemas.openxmlformats.org/officeDocument/2006/relationships/hyperlink" Target="http://www.sec.gov/Archives/edgar/data/1603978/000160397820000035/aqb8k-2020x02x12.htm" TargetMode="External"/><Relationship Id="rId58" Type="http://schemas.openxmlformats.org/officeDocument/2006/relationships/hyperlink" Target="http://www.sec.gov/Archives/edgar/data/1603978/000160397820000039/aqb8k-2020x02x13.htm" TargetMode="External"/><Relationship Id="rId59" Type="http://schemas.openxmlformats.org/officeDocument/2006/relationships/hyperlink" Target="http://www.sec.gov/ix?doc=/Archives/edgar/data/1603978/000160397820000133/aqb-20201119.htm" TargetMode="External"/><Relationship Id="rId60" Type="http://schemas.openxmlformats.org/officeDocument/2006/relationships/hyperlink" Target="http://www.sec.gov/ix?doc=/Archives/edgar/data/1603978/000160397820000141/aqb-20201209.htm" TargetMode="External"/><Relationship Id="rId61" Type="http://schemas.openxmlformats.org/officeDocument/2006/relationships/hyperlink" Target="http://www.sec.gov/ix?doc=/Archives/edgar/data/1603978/000160397820000145/aqb-20201210.htm" TargetMode="External"/><Relationship Id="rId62" Type="http://schemas.openxmlformats.org/officeDocument/2006/relationships/hyperlink" Target="http://www.sec.gov/ix?doc=/Archives/edgar/data/1603978/000160397820000148/aqb-20201214.htm" TargetMode="External"/><Relationship Id="rId63" Type="http://schemas.openxmlformats.org/officeDocument/2006/relationships/hyperlink" Target="http://www.sec.gov/Archives/edgar/data/1603978/000160397820000052/exhibit43-2019x12x31.htm" TargetMode="External"/><Relationship Id="rId74" Type="http://schemas.openxmlformats.org/officeDocument/2006/relationships/hyperlink" Target="http://www.sec.gov/Archives/edgar/data/1603978/000119312516760799/d275549dex31.htm" TargetMode="External"/><Relationship Id="rId75" Type="http://schemas.openxmlformats.org/officeDocument/2006/relationships/hyperlink" Target="http://www.sec.gov/Archives/edgar/data/1603978/000119312517004648/d209058dex31.htm" TargetMode="External"/><Relationship Id="rId76" Type="http://schemas.openxmlformats.org/officeDocument/2006/relationships/hyperlink" Target="http://www.sec.gov/Archives/edgar/data/1603978/000160397820000005/exhibit3-3.htm" TargetMode="External"/><Relationship Id="rId77" Type="http://schemas.openxmlformats.org/officeDocument/2006/relationships/hyperlink" Target="http://www.sec.gov/Archives/edgar/data/1603978/000160397820000133/exhibit31.htm" TargetMode="External"/><Relationship Id="rId78" Type="http://schemas.openxmlformats.org/officeDocument/2006/relationships/hyperlink" Target="http://www.sec.gov/Archives/edgar/data/1603978/000119312516760799/d275549dex32.htm" TargetMode="External"/><Relationship Id="rId79" Type="http://schemas.openxmlformats.org/officeDocument/2006/relationships/hyperlink" Target="http://www.sec.gov/Archives/edgar/data/1603978/000119312516760799/d27554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2021-01-20T15:47:18Z</dcterms:created>
  <dcterms:modified xsi:type="dcterms:W3CDTF">2021-01-20T15:47:18Z</dcterms:modified>
</cp:coreProperties>
</file>