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§240.13d-1(b), (c) AND (d) AND AMENDMENTS THERETO FILED PURSUANT TO § 240.13d-2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AquaBounty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03842K200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CUSIP No.</w:t>
            </w:r>
          </w:p>
        </w:tc>
        <w:tc>
          <w:tcPr>
            <w:tcW w:w="274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03842K200</w:t>
            </w:r>
          </w:p>
        </w:tc>
      </w:tr>
    </w:tbl>
    <w:p>
      <w:pPr>
        <w:spacing w:after="0" w:line="215" w:lineRule="exact"/>
        <w:rPr>
          <w:sz w:val="20"/>
          <w:szCs w:val="20"/>
          <w:color w:val="auto"/>
        </w:rPr>
      </w:pPr>
    </w:p>
    <w:p>
      <w:pPr>
        <w:ind w:left="580" w:hanging="559"/>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Sopica Special Opportunities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4088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088765"/>
                    </a:xfrm>
                    <a:prstGeom prst="rect">
                      <a:avLst/>
                    </a:prstGeom>
                    <a:noFill/>
                  </pic:spPr>
                </pic:pic>
              </a:graphicData>
            </a:graphic>
          </wp:anchor>
        </w:drawing>
      </w:r>
    </w:p>
    <w:p>
      <w:pPr>
        <w:ind w:left="580" w:hanging="559"/>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1140" w:hanging="240"/>
        <w:spacing w:after="0" w:line="207" w:lineRule="exact"/>
        <w:tabs>
          <w:tab w:leader="none" w:pos="114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160" w:hanging="260"/>
        <w:spacing w:after="0" w:line="207" w:lineRule="exact"/>
        <w:tabs>
          <w:tab w:leader="none" w:pos="11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580" w:hanging="559"/>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3" w:lineRule="exact"/>
        <w:rPr>
          <w:sz w:val="20"/>
          <w:szCs w:val="20"/>
          <w:color w:val="auto"/>
        </w:rPr>
      </w:pPr>
    </w:p>
    <w:p>
      <w:pPr>
        <w:ind w:left="680" w:right="6980" w:hanging="659"/>
        <w:spacing w:after="0" w:line="258" w:lineRule="auto"/>
        <w:tabs>
          <w:tab w:leader="none" w:pos="59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British Virgin Islands</w:t>
      </w:r>
    </w:p>
    <w:p>
      <w:pPr>
        <w:spacing w:after="0" w:line="1" w:lineRule="exact"/>
        <w:rPr>
          <w:rFonts w:ascii="Arial" w:cs="Arial" w:eastAsia="Arial" w:hAnsi="Arial"/>
          <w:sz w:val="18"/>
          <w:szCs w:val="18"/>
          <w:b w:val="1"/>
          <w:bCs w:val="1"/>
          <w:color w:val="auto"/>
        </w:rPr>
      </w:pPr>
    </w:p>
    <w:p>
      <w:pPr>
        <w:ind w:left="2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24"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6"/>
              </w:rPr>
              <w:t>NUMBER OF</w:t>
            </w:r>
          </w:p>
        </w:tc>
        <w:tc>
          <w:tcPr>
            <w:tcW w:w="40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700" w:type="dxa"/>
            <w:vAlign w:val="bottom"/>
          </w:tcPr>
          <w:p>
            <w:pPr>
              <w:jc w:val="center"/>
              <w:ind w:right="330"/>
              <w:spacing w:after="0" w:line="195" w:lineRule="exact"/>
              <w:rPr>
                <w:sz w:val="20"/>
                <w:szCs w:val="20"/>
                <w:color w:val="auto"/>
              </w:rPr>
            </w:pPr>
            <w:r>
              <w:rPr>
                <w:rFonts w:ascii="Arial" w:cs="Arial" w:eastAsia="Arial" w:hAnsi="Arial"/>
                <w:sz w:val="18"/>
                <w:szCs w:val="18"/>
                <w:color w:val="auto"/>
                <w:w w:val="91"/>
              </w:rPr>
              <w:t>SHARES</w:t>
            </w:r>
          </w:p>
        </w:tc>
        <w:tc>
          <w:tcPr>
            <w:tcW w:w="40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w w:val="79"/>
              </w:rPr>
              <w:t>6</w:t>
            </w:r>
          </w:p>
        </w:tc>
        <w:tc>
          <w:tcPr>
            <w:tcW w:w="8700" w:type="dxa"/>
            <w:vAlign w:val="bottom"/>
          </w:tcPr>
          <w:p>
            <w:pPr>
              <w:ind w:left="2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700" w:type="dxa"/>
            <w:vAlign w:val="bottom"/>
          </w:tcPr>
          <w:p>
            <w:pPr>
              <w:jc w:val="center"/>
              <w:ind w:right="330"/>
              <w:spacing w:after="0" w:line="182" w:lineRule="exact"/>
              <w:rPr>
                <w:sz w:val="20"/>
                <w:szCs w:val="20"/>
                <w:color w:val="auto"/>
              </w:rPr>
            </w:pPr>
            <w:r>
              <w:rPr>
                <w:rFonts w:ascii="Arial" w:cs="Arial" w:eastAsia="Arial" w:hAnsi="Arial"/>
                <w:sz w:val="18"/>
                <w:szCs w:val="18"/>
                <w:color w:val="auto"/>
                <w:w w:val="95"/>
              </w:rPr>
              <w:t>EACH</w:t>
            </w: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w w:val="79"/>
              </w:rPr>
              <w:t>7</w:t>
            </w:r>
          </w:p>
        </w:tc>
        <w:tc>
          <w:tcPr>
            <w:tcW w:w="8700" w:type="dxa"/>
            <w:vAlign w:val="bottom"/>
          </w:tcPr>
          <w:p>
            <w:pPr>
              <w:ind w:left="2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700" w:type="dxa"/>
            <w:vAlign w:val="bottom"/>
            <w:vMerge w:val="restart"/>
          </w:tcPr>
          <w:p>
            <w:pPr>
              <w:jc w:val="center"/>
              <w:ind w:right="330"/>
              <w:spacing w:after="0"/>
              <w:rPr>
                <w:sz w:val="20"/>
                <w:szCs w:val="20"/>
                <w:color w:val="auto"/>
              </w:rPr>
            </w:pPr>
            <w:r>
              <w:rPr>
                <w:rFonts w:ascii="Arial" w:cs="Arial" w:eastAsia="Arial" w:hAnsi="Arial"/>
                <w:sz w:val="18"/>
                <w:szCs w:val="18"/>
                <w:color w:val="auto"/>
              </w:rPr>
              <w:t>WITH</w:t>
            </w:r>
          </w:p>
        </w:tc>
        <w:tc>
          <w:tcPr>
            <w:tcW w:w="4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0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8</w:t>
            </w:r>
          </w:p>
        </w:tc>
        <w:tc>
          <w:tcPr>
            <w:tcW w:w="870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580" w:right="4100" w:hanging="559"/>
        <w:spacing w:after="0" w:line="258" w:lineRule="auto"/>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w:t>
      </w:r>
    </w:p>
    <w:p>
      <w:pPr>
        <w:ind w:left="580" w:hanging="559"/>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7" w:lineRule="exact"/>
        <w:rPr>
          <w:rFonts w:ascii="Arial" w:cs="Arial" w:eastAsia="Arial" w:hAnsi="Arial"/>
          <w:sz w:val="18"/>
          <w:szCs w:val="18"/>
          <w:b w:val="1"/>
          <w:bCs w:val="1"/>
          <w:color w:val="auto"/>
        </w:rPr>
      </w:pPr>
    </w:p>
    <w:p>
      <w:pPr>
        <w:ind w:left="5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580" w:right="5600" w:hanging="559"/>
        <w:spacing w:after="0" w:line="249" w:lineRule="auto"/>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ind w:left="580" w:hanging="559"/>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CUSIP No.</w:t>
            </w:r>
          </w:p>
        </w:tc>
        <w:tc>
          <w:tcPr>
            <w:tcW w:w="274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03842K200</w:t>
            </w:r>
          </w:p>
        </w:tc>
      </w:tr>
    </w:tbl>
    <w:p>
      <w:pPr>
        <w:spacing w:after="0" w:line="215" w:lineRule="exact"/>
        <w:rPr>
          <w:sz w:val="20"/>
          <w:szCs w:val="20"/>
          <w:color w:val="auto"/>
        </w:rPr>
      </w:pPr>
    </w:p>
    <w:p>
      <w:pPr>
        <w:ind w:left="580" w:hanging="559"/>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Sopica Global Retail Growth Fund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4088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088765"/>
                    </a:xfrm>
                    <a:prstGeom prst="rect">
                      <a:avLst/>
                    </a:prstGeom>
                    <a:noFill/>
                  </pic:spPr>
                </pic:pic>
              </a:graphicData>
            </a:graphic>
          </wp:anchor>
        </w:drawing>
      </w:r>
    </w:p>
    <w:p>
      <w:pPr>
        <w:ind w:left="580" w:hanging="559"/>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1140" w:hanging="240"/>
        <w:spacing w:after="0" w:line="207" w:lineRule="exact"/>
        <w:tabs>
          <w:tab w:leader="none" w:pos="114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160" w:hanging="260"/>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580" w:hanging="559"/>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23" w:lineRule="exact"/>
        <w:rPr>
          <w:sz w:val="20"/>
          <w:szCs w:val="20"/>
          <w:color w:val="auto"/>
        </w:rPr>
      </w:pPr>
    </w:p>
    <w:p>
      <w:pPr>
        <w:ind w:left="680" w:right="6980" w:hanging="659"/>
        <w:spacing w:after="0" w:line="258" w:lineRule="auto"/>
        <w:tabs>
          <w:tab w:leader="none" w:pos="59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British Virgin Islands</w:t>
      </w:r>
    </w:p>
    <w:p>
      <w:pPr>
        <w:spacing w:after="0" w:line="1" w:lineRule="exact"/>
        <w:rPr>
          <w:rFonts w:ascii="Arial" w:cs="Arial" w:eastAsia="Arial" w:hAnsi="Arial"/>
          <w:sz w:val="18"/>
          <w:szCs w:val="18"/>
          <w:b w:val="1"/>
          <w:bCs w:val="1"/>
          <w:color w:val="auto"/>
        </w:rPr>
      </w:pPr>
    </w:p>
    <w:p>
      <w:pPr>
        <w:ind w:left="2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7"/>
          <w:szCs w:val="17"/>
          <w:color w:val="auto"/>
        </w:rPr>
        <w:t>SOLE VOTING POWER</w:t>
      </w:r>
    </w:p>
    <w:p>
      <w:pPr>
        <w:spacing w:after="0" w:line="224"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6"/>
              </w:rPr>
              <w:t>NUMBER OF</w:t>
            </w:r>
          </w:p>
        </w:tc>
        <w:tc>
          <w:tcPr>
            <w:tcW w:w="40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700" w:type="dxa"/>
            <w:vAlign w:val="bottom"/>
          </w:tcPr>
          <w:p>
            <w:pPr>
              <w:jc w:val="center"/>
              <w:ind w:right="330"/>
              <w:spacing w:after="0" w:line="195" w:lineRule="exact"/>
              <w:rPr>
                <w:sz w:val="20"/>
                <w:szCs w:val="20"/>
                <w:color w:val="auto"/>
              </w:rPr>
            </w:pPr>
            <w:r>
              <w:rPr>
                <w:rFonts w:ascii="Arial" w:cs="Arial" w:eastAsia="Arial" w:hAnsi="Arial"/>
                <w:sz w:val="18"/>
                <w:szCs w:val="18"/>
                <w:color w:val="auto"/>
                <w:w w:val="91"/>
              </w:rPr>
              <w:t>SHARES</w:t>
            </w:r>
          </w:p>
        </w:tc>
        <w:tc>
          <w:tcPr>
            <w:tcW w:w="40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w w:val="79"/>
              </w:rPr>
              <w:t>6</w:t>
            </w:r>
          </w:p>
        </w:tc>
        <w:tc>
          <w:tcPr>
            <w:tcW w:w="8700" w:type="dxa"/>
            <w:vAlign w:val="bottom"/>
          </w:tcPr>
          <w:p>
            <w:pPr>
              <w:ind w:left="2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700" w:type="dxa"/>
            <w:vAlign w:val="bottom"/>
          </w:tcPr>
          <w:p>
            <w:pPr>
              <w:jc w:val="center"/>
              <w:ind w:right="330"/>
              <w:spacing w:after="0" w:line="182" w:lineRule="exact"/>
              <w:rPr>
                <w:sz w:val="20"/>
                <w:szCs w:val="20"/>
                <w:color w:val="auto"/>
              </w:rPr>
            </w:pPr>
            <w:r>
              <w:rPr>
                <w:rFonts w:ascii="Arial" w:cs="Arial" w:eastAsia="Arial" w:hAnsi="Arial"/>
                <w:sz w:val="18"/>
                <w:szCs w:val="18"/>
                <w:color w:val="auto"/>
                <w:w w:val="95"/>
              </w:rPr>
              <w:t>EACH</w:t>
            </w: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w w:val="79"/>
              </w:rPr>
              <w:t>7</w:t>
            </w:r>
          </w:p>
        </w:tc>
        <w:tc>
          <w:tcPr>
            <w:tcW w:w="8700" w:type="dxa"/>
            <w:vAlign w:val="bottom"/>
          </w:tcPr>
          <w:p>
            <w:pPr>
              <w:ind w:left="2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700" w:type="dxa"/>
            <w:vAlign w:val="bottom"/>
            <w:vMerge w:val="restart"/>
          </w:tcPr>
          <w:p>
            <w:pPr>
              <w:jc w:val="center"/>
              <w:ind w:right="330"/>
              <w:spacing w:after="0"/>
              <w:rPr>
                <w:sz w:val="20"/>
                <w:szCs w:val="20"/>
                <w:color w:val="auto"/>
              </w:rPr>
            </w:pPr>
            <w:r>
              <w:rPr>
                <w:rFonts w:ascii="Arial" w:cs="Arial" w:eastAsia="Arial" w:hAnsi="Arial"/>
                <w:sz w:val="18"/>
                <w:szCs w:val="18"/>
                <w:color w:val="auto"/>
              </w:rPr>
              <w:t>WITH</w:t>
            </w:r>
          </w:p>
        </w:tc>
        <w:tc>
          <w:tcPr>
            <w:tcW w:w="4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0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8</w:t>
            </w:r>
          </w:p>
        </w:tc>
        <w:tc>
          <w:tcPr>
            <w:tcW w:w="870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580" w:right="4100" w:hanging="559"/>
        <w:spacing w:after="0" w:line="258" w:lineRule="auto"/>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w:t>
      </w:r>
    </w:p>
    <w:p>
      <w:pPr>
        <w:ind w:left="580" w:hanging="559"/>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7" w:lineRule="exact"/>
        <w:rPr>
          <w:rFonts w:ascii="Arial" w:cs="Arial" w:eastAsia="Arial" w:hAnsi="Arial"/>
          <w:sz w:val="18"/>
          <w:szCs w:val="18"/>
          <w:b w:val="1"/>
          <w:bCs w:val="1"/>
          <w:color w:val="auto"/>
        </w:rPr>
      </w:pPr>
    </w:p>
    <w:p>
      <w:pPr>
        <w:ind w:left="5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580" w:right="5600" w:hanging="559"/>
        <w:spacing w:after="0" w:line="249" w:lineRule="auto"/>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ind w:left="580" w:hanging="559"/>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SCHEDULE 13G</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60" w:type="dxa"/>
            <w:vAlign w:val="bottom"/>
            <w:tcBorders>
              <w:top w:val="single" w:sz="8" w:color="auto"/>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CUSIP No.</w:t>
            </w:r>
          </w:p>
        </w:tc>
        <w:tc>
          <w:tcPr>
            <w:tcW w:w="274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03842K200</w:t>
            </w:r>
          </w:p>
        </w:tc>
      </w:tr>
    </w:tbl>
    <w:p>
      <w:pPr>
        <w:spacing w:after="0" w:line="200" w:lineRule="exact"/>
        <w:rPr>
          <w:sz w:val="20"/>
          <w:szCs w:val="20"/>
          <w:color w:val="auto"/>
        </w:rPr>
      </w:pPr>
    </w:p>
    <w:p>
      <w:pPr>
        <w:sectPr>
          <w:pgSz w:w="11900" w:h="16838" w:orient="portrait"/>
          <w:cols w:equalWidth="0" w:num="1">
            <w:col w:w="11240"/>
          </w:cols>
          <w:pgMar w:left="320" w:top="810" w:right="339" w:bottom="1440" w:gutter="0" w:footer="0" w:header="0"/>
        </w:sectPr>
      </w:pP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1</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3</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-130175</wp:posOffset>
            </wp:positionV>
            <wp:extent cx="7132320" cy="4088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08876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LLF Financial S.A.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 IF A MEMBER OF A GROUP (</w:t>
      </w:r>
      <w:r>
        <w:rPr>
          <w:rFonts w:ascii="Arial" w:cs="Arial" w:eastAsia="Arial" w:hAnsi="Arial"/>
          <w:sz w:val="17"/>
          <w:szCs w:val="17"/>
          <w:i w:val="1"/>
          <w:iCs w:val="1"/>
          <w:color w:val="auto"/>
        </w:rPr>
        <w:t>See</w:t>
      </w:r>
      <w:r>
        <w:rPr>
          <w:rFonts w:ascii="Arial" w:cs="Arial" w:eastAsia="Arial" w:hAnsi="Arial"/>
          <w:sz w:val="17"/>
          <w:szCs w:val="17"/>
          <w:color w:val="auto"/>
        </w:rPr>
        <w:t xml:space="preserve"> Instructions)</w:t>
      </w:r>
    </w:p>
    <w:p>
      <w:pPr>
        <w:spacing w:after="0" w:line="29" w:lineRule="exact"/>
        <w:rPr>
          <w:sz w:val="20"/>
          <w:szCs w:val="20"/>
          <w:color w:val="auto"/>
        </w:rPr>
      </w:pPr>
    </w:p>
    <w:p>
      <w:pPr>
        <w:ind w:left="560" w:hanging="240"/>
        <w:spacing w:after="0" w:line="207" w:lineRule="exact"/>
        <w:tabs>
          <w:tab w:leader="none" w:pos="56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580" w:hanging="260"/>
        <w:spacing w:after="0" w:line="207" w:lineRule="exact"/>
        <w:tabs>
          <w:tab w:leader="none" w:pos="580" w:val="left"/>
        </w:tabs>
        <w:numPr>
          <w:ilvl w:val="0"/>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ectPr>
          <w:pgSz w:w="11900" w:h="16838" w:orient="portrait"/>
          <w:cols w:equalWidth="0" w:num="2">
            <w:col w:w="120" w:space="460"/>
            <w:col w:w="10660"/>
          </w:cols>
          <w:pgMar w:left="320" w:top="810" w:right="339" w:bottom="1440" w:gutter="0" w:footer="0" w:header="0"/>
          <w:type w:val="continuous"/>
        </w:sectPr>
      </w:pPr>
    </w:p>
    <w:tbl>
      <w:tblPr>
        <w:tblLayout w:type="fixed"/>
        <w:tblInd w:w="44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5</w:t>
            </w:r>
          </w:p>
        </w:tc>
        <w:tc>
          <w:tcPr>
            <w:tcW w:w="870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7"/>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6"/>
              </w:rPr>
              <w:t>NUMBER OF</w:t>
            </w:r>
          </w:p>
        </w:tc>
        <w:tc>
          <w:tcPr>
            <w:tcW w:w="40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700" w:type="dxa"/>
            <w:vAlign w:val="bottom"/>
          </w:tcPr>
          <w:p>
            <w:pPr>
              <w:jc w:val="center"/>
              <w:ind w:right="330"/>
              <w:spacing w:after="0" w:line="195" w:lineRule="exact"/>
              <w:rPr>
                <w:sz w:val="20"/>
                <w:szCs w:val="20"/>
                <w:color w:val="auto"/>
              </w:rPr>
            </w:pPr>
            <w:r>
              <w:rPr>
                <w:rFonts w:ascii="Arial" w:cs="Arial" w:eastAsia="Arial" w:hAnsi="Arial"/>
                <w:sz w:val="18"/>
                <w:szCs w:val="18"/>
                <w:color w:val="auto"/>
                <w:w w:val="91"/>
              </w:rPr>
              <w:t>SHARES</w:t>
            </w:r>
          </w:p>
        </w:tc>
        <w:tc>
          <w:tcPr>
            <w:tcW w:w="400" w:type="dxa"/>
            <w:vAlign w:val="bottom"/>
          </w:tcPr>
          <w:p>
            <w:pPr>
              <w:jc w:val="right"/>
              <w:ind w:right="210"/>
              <w:spacing w:after="0" w:line="195" w:lineRule="exact"/>
              <w:rPr>
                <w:sz w:val="20"/>
                <w:szCs w:val="20"/>
                <w:color w:val="auto"/>
              </w:rPr>
            </w:pPr>
            <w:r>
              <w:rPr>
                <w:rFonts w:ascii="Arial" w:cs="Arial" w:eastAsia="Arial" w:hAnsi="Arial"/>
                <w:sz w:val="18"/>
                <w:szCs w:val="18"/>
                <w:b w:val="1"/>
                <w:bCs w:val="1"/>
                <w:color w:val="auto"/>
                <w:w w:val="79"/>
              </w:rPr>
              <w:t>6</w:t>
            </w:r>
          </w:p>
        </w:tc>
        <w:tc>
          <w:tcPr>
            <w:tcW w:w="8700" w:type="dxa"/>
            <w:vAlign w:val="bottom"/>
          </w:tcPr>
          <w:p>
            <w:pPr>
              <w:ind w:left="2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Arial" w:cs="Arial" w:eastAsia="Arial" w:hAnsi="Arial"/>
                <w:sz w:val="18"/>
                <w:szCs w:val="18"/>
                <w:color w:val="auto"/>
              </w:rPr>
              <w:t>BENEFICIALLY</w:t>
            </w:r>
          </w:p>
        </w:tc>
        <w:tc>
          <w:tcPr>
            <w:tcW w:w="40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7"/>
              </w:rPr>
              <w:t>OWNED BY</w:t>
            </w:r>
          </w:p>
        </w:tc>
        <w:tc>
          <w:tcPr>
            <w:tcW w:w="400" w:type="dxa"/>
            <w:vAlign w:val="bottom"/>
            <w:tcBorders>
              <w:bottom w:val="single" w:sz="8" w:color="auto"/>
            </w:tcBorders>
          </w:tcPr>
          <w:p>
            <w:pPr>
              <w:spacing w:after="0"/>
              <w:rPr>
                <w:sz w:val="20"/>
                <w:szCs w:val="20"/>
                <w:color w:val="auto"/>
              </w:rPr>
            </w:pPr>
          </w:p>
        </w:tc>
        <w:tc>
          <w:tcPr>
            <w:tcW w:w="87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700" w:type="dxa"/>
            <w:vAlign w:val="bottom"/>
          </w:tcPr>
          <w:p>
            <w:pPr>
              <w:jc w:val="center"/>
              <w:ind w:right="330"/>
              <w:spacing w:after="0" w:line="182" w:lineRule="exact"/>
              <w:rPr>
                <w:sz w:val="20"/>
                <w:szCs w:val="20"/>
                <w:color w:val="auto"/>
              </w:rPr>
            </w:pPr>
            <w:r>
              <w:rPr>
                <w:rFonts w:ascii="Arial" w:cs="Arial" w:eastAsia="Arial" w:hAnsi="Arial"/>
                <w:sz w:val="18"/>
                <w:szCs w:val="18"/>
                <w:color w:val="auto"/>
                <w:w w:val="95"/>
              </w:rPr>
              <w:t>EACH</w:t>
            </w: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w w:val="79"/>
              </w:rPr>
              <w:t>7</w:t>
            </w:r>
          </w:p>
        </w:tc>
        <w:tc>
          <w:tcPr>
            <w:tcW w:w="8700" w:type="dxa"/>
            <w:vAlign w:val="bottom"/>
          </w:tcPr>
          <w:p>
            <w:pPr>
              <w:ind w:left="2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93"/>
              </w:rPr>
              <w:t>REPORTING</w:t>
            </w:r>
          </w:p>
        </w:tc>
        <w:tc>
          <w:tcPr>
            <w:tcW w:w="40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30"/>
              <w:spacing w:after="0"/>
              <w:rPr>
                <w:sz w:val="20"/>
                <w:szCs w:val="20"/>
                <w:color w:val="auto"/>
              </w:rPr>
            </w:pPr>
            <w:r>
              <w:rPr>
                <w:rFonts w:ascii="Arial" w:cs="Arial" w:eastAsia="Arial" w:hAnsi="Arial"/>
                <w:sz w:val="18"/>
                <w:szCs w:val="18"/>
                <w:color w:val="auto"/>
                <w:w w:val="89"/>
              </w:rPr>
              <w:t>PERSON</w:t>
            </w:r>
          </w:p>
        </w:tc>
        <w:tc>
          <w:tcPr>
            <w:tcW w:w="400" w:type="dxa"/>
            <w:vAlign w:val="bottom"/>
          </w:tcPr>
          <w:p>
            <w:pPr>
              <w:spacing w:after="0"/>
              <w:rPr>
                <w:sz w:val="18"/>
                <w:szCs w:val="18"/>
                <w:color w:val="auto"/>
              </w:rPr>
            </w:pPr>
          </w:p>
        </w:tc>
        <w:tc>
          <w:tcPr>
            <w:tcW w:w="870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700" w:type="dxa"/>
            <w:vAlign w:val="bottom"/>
            <w:vMerge w:val="restart"/>
          </w:tcPr>
          <w:p>
            <w:pPr>
              <w:jc w:val="center"/>
              <w:ind w:right="330"/>
              <w:spacing w:after="0"/>
              <w:rPr>
                <w:sz w:val="20"/>
                <w:szCs w:val="20"/>
                <w:color w:val="auto"/>
              </w:rPr>
            </w:pPr>
            <w:r>
              <w:rPr>
                <w:rFonts w:ascii="Arial" w:cs="Arial" w:eastAsia="Arial" w:hAnsi="Arial"/>
                <w:sz w:val="18"/>
                <w:szCs w:val="18"/>
                <w:color w:val="auto"/>
              </w:rPr>
              <w:t>WITH</w:t>
            </w:r>
          </w:p>
        </w:tc>
        <w:tc>
          <w:tcPr>
            <w:tcW w:w="4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700" w:type="dxa"/>
            <w:vAlign w:val="bottom"/>
            <w:vMerge w:val="continue"/>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8</w:t>
            </w:r>
          </w:p>
        </w:tc>
        <w:tc>
          <w:tcPr>
            <w:tcW w:w="870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0</w:t>
      </w:r>
    </w:p>
    <w:p>
      <w:pPr>
        <w:spacing w:after="0" w:line="23" w:lineRule="exact"/>
        <w:rPr>
          <w:sz w:val="20"/>
          <w:szCs w:val="20"/>
          <w:color w:val="auto"/>
        </w:rPr>
      </w:pPr>
    </w:p>
    <w:p>
      <w:pPr>
        <w:ind w:left="580" w:right="4100" w:hanging="559"/>
        <w:spacing w:after="0" w:line="258" w:lineRule="auto"/>
        <w:tabs>
          <w:tab w:leader="none" w:pos="5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0</w:t>
      </w:r>
    </w:p>
    <w:p>
      <w:pPr>
        <w:ind w:left="580" w:hanging="559"/>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17" w:lineRule="exact"/>
        <w:rPr>
          <w:rFonts w:ascii="Arial" w:cs="Arial" w:eastAsia="Arial" w:hAnsi="Arial"/>
          <w:sz w:val="18"/>
          <w:szCs w:val="18"/>
          <w:b w:val="1"/>
          <w:bCs w:val="1"/>
          <w:color w:val="auto"/>
        </w:rPr>
      </w:pPr>
    </w:p>
    <w:p>
      <w:pPr>
        <w:ind w:left="580"/>
        <w:spacing w:after="0" w:line="181" w:lineRule="exact"/>
        <w:rPr>
          <w:rFonts w:ascii="Arial" w:cs="Arial" w:eastAsia="Arial" w:hAnsi="Arial"/>
          <w:sz w:val="18"/>
          <w:szCs w:val="18"/>
          <w:b w:val="1"/>
          <w:bCs w:val="1"/>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b w:val="1"/>
          <w:bCs w:val="1"/>
          <w:color w:val="auto"/>
        </w:rPr>
      </w:pPr>
    </w:p>
    <w:p>
      <w:pPr>
        <w:ind w:left="580" w:right="5600" w:hanging="559"/>
        <w:spacing w:after="0" w:line="249" w:lineRule="auto"/>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w:t>
      </w:r>
    </w:p>
    <w:p>
      <w:pPr>
        <w:ind w:left="580" w:hanging="559"/>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4" w:name="page5"/>
    <w:bookmarkEnd w:id="4"/>
    <w:p>
      <w:pPr>
        <w:jc w:val="center"/>
        <w:ind w:right="-2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amendment reflects that each of the Reporting Persons has ceased to be the beneficial owner of more than five percent of the Common Stock of the Issuer.</w:t>
      </w:r>
    </w:p>
    <w:p>
      <w:pPr>
        <w:spacing w:after="0" w:line="3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AquaBounty Technologies, Inc. (the “Issuer”)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 Mill &amp; Main Place, Suite 395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Maynard, Massachusetts 01754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Sopica Special Opportunities Fund LTD (“SSOF”)</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Sopica Global Retail Growth Fund LTD (“SGRGF”)</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LLF Financial S.A. (“LLFF”)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p>
      <w:pPr>
        <w:spacing w:after="0" w:line="221"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b w:val="1"/>
          <w:bCs w:val="1"/>
          <w:color w:val="auto"/>
        </w:rPr>
        <w:t>Address of Principal Business Office for All Reporting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place of business of LLFF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Rue Aldringen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Luxembourg, Luxembourg L-1118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place of business of each of SSOF and SGRGF 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Folio Chambers, Road Town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Tortola, British Virgin Islands VG1110</w:t>
      </w:r>
    </w:p>
    <w:p>
      <w:pPr>
        <w:spacing w:after="0" w:line="200" w:lineRule="exact"/>
        <w:rPr>
          <w:sz w:val="20"/>
          <w:szCs w:val="20"/>
          <w:color w:val="auto"/>
        </w:rPr>
      </w:pPr>
    </w:p>
    <w:p>
      <w:pPr>
        <w:spacing w:after="0" w:line="237" w:lineRule="exact"/>
        <w:rPr>
          <w:sz w:val="20"/>
          <w:szCs w:val="20"/>
          <w:color w:val="auto"/>
        </w:rPr>
      </w:pPr>
    </w:p>
    <w:p>
      <w:pPr>
        <w:ind w:left="540"/>
        <w:spacing w:after="0"/>
        <w:tabs>
          <w:tab w:leader="none" w:pos="18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SSOF and SGRGF are each organized under the laws of the British Virgin Islands. LLFF is organized under the laws of Luxembourg.</w:t>
      </w:r>
    </w:p>
    <w:p>
      <w:pPr>
        <w:spacing w:after="0" w:line="221" w:lineRule="exact"/>
        <w:rPr>
          <w:sz w:val="20"/>
          <w:szCs w:val="20"/>
          <w:color w:val="auto"/>
        </w:rPr>
      </w:pPr>
    </w:p>
    <w:p>
      <w:pPr>
        <w:ind w:left="260"/>
        <w:spacing w:after="0"/>
        <w:tabs>
          <w:tab w:leader="none" w:pos="15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$0.001 per share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810" w:right="599" w:bottom="1440" w:gutter="0" w:footer="0" w:header="0"/>
        </w:sectPr>
      </w:pPr>
    </w:p>
    <w:bookmarkStart w:id="5" w:name="page6"/>
    <w:bookmarkEnd w:id="5"/>
    <w:p>
      <w:pPr>
        <w:ind w:left="400"/>
        <w:spacing w:after="0"/>
        <w:tabs>
          <w:tab w:leader="none" w:pos="16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03842K200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96" w:lineRule="exact"/>
        <w:rPr>
          <w:sz w:val="20"/>
          <w:szCs w:val="20"/>
          <w:color w:val="auto"/>
        </w:rPr>
      </w:pPr>
    </w:p>
    <w:p>
      <w:pPr>
        <w:ind w:left="1300" w:hanging="644"/>
        <w:spacing w:after="0" w:line="207"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U.S.C.80a-8);</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300" w:right="180" w:hanging="644"/>
        <w:spacing w:after="0" w:line="239"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 (i) with respect to SSOF and SGRGF, an investment company, and (ii) with respect to LLFF, an investment adviser.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 (b)</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44,960,806 shares of Common Stock of the Issuer outstanding as of November 2, 2020, as reported in the Issuer’s Quarterly Report on Form 10-Q filed with the Securities and Exchange Commission on November 3, 2020, increased by 10,028,000 shares of Common Stock issued in connection with an underwritten public offering, as reported in the Issuer’s Current Report on Form 8-K filed with the Securities and Exchange Commission on December 14, 2020:</w:t>
      </w:r>
    </w:p>
    <w:p>
      <w:pPr>
        <w:spacing w:after="0" w:line="187" w:lineRule="exact"/>
        <w:rPr>
          <w:sz w:val="20"/>
          <w:szCs w:val="20"/>
          <w:color w:val="auto"/>
        </w:rPr>
      </w:pPr>
    </w:p>
    <w:p>
      <w:pPr>
        <w:ind w:left="1620" w:hanging="640"/>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SSOF beneficially owns no shares of Common Stock, directly or indirectly, constituting 0% of the shares of Common Stock outstanding;</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SGRGF beneficially owns no shares of Common Stock, directly or indirectly, constituting 0% of the shares of Common Stock outstanding; and</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LLF beneficially owns no shares of Common Stock, directly or indirectly, constituting 0% of the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Rows 5-9 of the cover page for each Reporting Person is incorporated herein by reference for each such Reporting Person. Each of the Reporting Persons disclaims beneficial ownership of the shares of Common Stock that are not directly owned by such Reporting Person, except to the extent of their pecuniary interest therein.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7" w:name="page8"/>
    <w:bookmarkEnd w:id="7"/>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4, 2021</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Sopica Special Opportunities Fund LTD</w:t>
      </w:r>
    </w:p>
    <w:p>
      <w:pPr>
        <w:spacing w:after="0" w:line="229"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Marie-Laure Aflalo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Marie-Laure Aflalo</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Lionel Elie Mamane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Lionel Elie Mamane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Sopica Global Retail Growth Fund LTD</w:t>
      </w:r>
    </w:p>
    <w:p>
      <w:pPr>
        <w:spacing w:after="0" w:line="229"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Marie-Laure Aflalo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Marie-Laure Aflalo</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Lionel Elie Mamane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Lionel Elie Mamane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LLF Financial S.A.</w:t>
      </w:r>
    </w:p>
    <w:p>
      <w:pPr>
        <w:spacing w:after="0" w:line="229"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Yuriy Lopatynskyy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Yuriy Lopatynskyy</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81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bullet"/>
      <w:start w:val="1"/>
    </w:lvl>
  </w:abstractNum>
  <w:abstractNum w:abstractNumId="4">
    <w:nsid w:val="3352255A"/>
    <w:multiLevelType w:val="hybridMultilevel"/>
    <w:lvl w:ilvl="0">
      <w:lvlJc w:val="left"/>
      <w:lvlText w:val="2"/>
      <w:numFmt w:val="bullet"/>
      <w:start w:val="1"/>
    </w:lvl>
    <w:lvl w:ilvl="1">
      <w:lvlJc w:val="left"/>
      <w:lvlText w:val="(%2)"/>
      <w:numFmt w:val="lowerLetter"/>
      <w:start w:val="1"/>
    </w:lvl>
  </w:abstractNum>
  <w:abstractNum w:abstractNumId="5">
    <w:nsid w:val="109CF92E"/>
    <w:multiLevelType w:val="hybridMultilevel"/>
    <w:lvl w:ilvl="0">
      <w:lvlJc w:val="left"/>
      <w:lvlText w:val="3"/>
      <w:numFmt w:val="bullet"/>
      <w:start w:val="1"/>
    </w:lvl>
  </w:abstractNum>
  <w:abstractNum w:abstractNumId="6">
    <w:nsid w:val="DED7263"/>
    <w:multiLevelType w:val="hybridMultilevel"/>
    <w:lvl w:ilvl="0">
      <w:lvlJc w:val="left"/>
      <w:lvlText w:val="4"/>
      <w:numFmt w:val="bullet"/>
      <w:start w:val="1"/>
    </w:lvl>
  </w:abstractNum>
  <w:abstractNum w:abstractNumId="7">
    <w:nsid w:val="7FDCC233"/>
    <w:multiLevelType w:val="hybridMultilevel"/>
    <w:lvl w:ilvl="0">
      <w:lvlJc w:val="left"/>
      <w:lvlText w:val="9"/>
      <w:numFmt w:val="bullet"/>
      <w:start w:val="1"/>
    </w:lvl>
  </w:abstractNum>
  <w:abstractNum w:abstractNumId="8">
    <w:nsid w:val="1BEFD79F"/>
    <w:multiLevelType w:val="hybridMultilevel"/>
    <w:lvl w:ilvl="0">
      <w:lvlJc w:val="left"/>
      <w:lvlText w:val="%1"/>
      <w:numFmt w:val="decimal"/>
      <w:start w:val="10"/>
    </w:lvl>
  </w:abstractNum>
  <w:abstractNum w:abstractNumId="9">
    <w:nsid w:val="41A7C4C9"/>
    <w:multiLevelType w:val="hybridMultilevel"/>
    <w:lvl w:ilvl="0">
      <w:lvlJc w:val="left"/>
      <w:lvlText w:val="1"/>
      <w:numFmt w:val="bullet"/>
      <w:start w:val="1"/>
    </w:lvl>
  </w:abstractNum>
  <w:abstractNum w:abstractNumId="10">
    <w:nsid w:val="6B68079A"/>
    <w:multiLevelType w:val="hybridMultilevel"/>
    <w:lvl w:ilvl="0">
      <w:lvlJc w:val="left"/>
      <w:lvlText w:val="2"/>
      <w:numFmt w:val="bullet"/>
      <w:start w:val="1"/>
    </w:lvl>
    <w:lvl w:ilvl="1">
      <w:lvlJc w:val="left"/>
      <w:lvlText w:val="(%2)"/>
      <w:numFmt w:val="lowerLetter"/>
      <w:start w:val="1"/>
    </w:lvl>
  </w:abstractNum>
  <w:abstractNum w:abstractNumId="11">
    <w:nsid w:val="4E6AFB66"/>
    <w:multiLevelType w:val="hybridMultilevel"/>
    <w:lvl w:ilvl="0">
      <w:lvlJc w:val="left"/>
      <w:lvlText w:val="3"/>
      <w:numFmt w:val="bullet"/>
      <w:start w:val="1"/>
    </w:lvl>
  </w:abstractNum>
  <w:abstractNum w:abstractNumId="12">
    <w:nsid w:val="25E45D32"/>
    <w:multiLevelType w:val="hybridMultilevel"/>
    <w:lvl w:ilvl="0">
      <w:lvlJc w:val="left"/>
      <w:lvlText w:val="4"/>
      <w:numFmt w:val="bullet"/>
      <w:start w:val="1"/>
    </w:lvl>
  </w:abstractNum>
  <w:abstractNum w:abstractNumId="13">
    <w:nsid w:val="519B500D"/>
    <w:multiLevelType w:val="hybridMultilevel"/>
    <w:lvl w:ilvl="0">
      <w:lvlJc w:val="left"/>
      <w:lvlText w:val="9"/>
      <w:numFmt w:val="bullet"/>
      <w:start w:val="1"/>
    </w:lvl>
  </w:abstractNum>
  <w:abstractNum w:abstractNumId="14">
    <w:nsid w:val="431BD7B7"/>
    <w:multiLevelType w:val="hybridMultilevel"/>
    <w:lvl w:ilvl="0">
      <w:lvlJc w:val="left"/>
      <w:lvlText w:val="%1"/>
      <w:numFmt w:val="decimal"/>
      <w:start w:val="10"/>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9"/>
      <w:numFmt w:val="bullet"/>
      <w:start w:val="1"/>
    </w:lvl>
  </w:abstractNum>
  <w:abstractNum w:abstractNumId="17">
    <w:nsid w:val="257130A3"/>
    <w:multiLevelType w:val="hybridMultilevel"/>
    <w:lvl w:ilvl="0">
      <w:lvlJc w:val="left"/>
      <w:lvlText w:val="%1"/>
      <w:numFmt w:val="decimal"/>
      <w:start w:val="10"/>
    </w:lvl>
  </w:abstractNum>
  <w:abstractNum w:abstractNumId="18">
    <w:nsid w:val="62BBD95A"/>
    <w:multiLevelType w:val="hybridMultilevel"/>
    <w:lvl w:ilvl="0">
      <w:lvlJc w:val="left"/>
      <w:lvlText w:val="(%1)"/>
      <w:numFmt w:val="lowerRoman"/>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2021-01-04T15:08:22Z</dcterms:created>
  <dcterms:modified xsi:type="dcterms:W3CDTF">2021-01-04T15:08:22Z</dcterms:modified>
</cp:coreProperties>
</file>