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qb-20260706x8k.htm"/>
      <w:bookmarkStart w:id="1" w:name="ksaqb20260706x8k"/>
      <w:bookmarkStart w:id="2" w:name="aqb-20260706x8k.htm"/>
      <w:bookmarkStart w:id="3" w:name="ksaqb20260706x8k"/>
      <w:bookmarkEnd w:id="2"/>
      <w:bookmarkEnd w:id="3"/>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UNITED STATES</w:t>
      </w:r>
    </w:p>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SECURITIES AND EXCHANGE COMMISSION</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Washington, D.C. 20549</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w:t>
      </w:r>
    </w:p>
    <w:p>
      <w:pPr>
        <w:pStyle w:val="TextBody"/>
        <w:bidi w:val="0"/>
        <w:spacing w:lineRule="auto" w:line="288"/>
        <w:rPr>
          <w:rFonts w:ascii="Times New Roman;serif" w:hAnsi="Times New Roman;serif"/>
          <w:b/>
          <w:i w:val="false"/>
          <w:caps w:val="false"/>
          <w:smallCaps w:val="false"/>
          <w:sz w:val="44"/>
        </w:rPr>
      </w:pPr>
      <w:r>
        <w:rPr>
          <w:rFonts w:ascii="Times New Roman;serif" w:hAnsi="Times New Roman;serif"/>
          <w:b/>
          <w:i w:val="false"/>
          <w:caps w:val="false"/>
          <w:smallCaps w:val="false"/>
          <w:sz w:val="44"/>
        </w:rPr>
        <w:t>Form 8-K</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 Securities Exchange Act of 1934</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July 6, 2026</w:t>
      </w:r>
    </w:p>
    <w:p>
      <w:pPr>
        <w:pStyle w:val="TextBody"/>
        <w:bidi w:val="0"/>
        <w:spacing w:lineRule="auto" w:line="288"/>
        <w:rPr>
          <w:rFonts w:ascii="Times New Roman;serif" w:hAnsi="Times New Roman;serif"/>
          <w:b/>
          <w:i w:val="false"/>
          <w:caps w:val="false"/>
          <w:smallCaps w:val="false"/>
          <w:color w:val="000000"/>
          <w:sz w:val="44"/>
        </w:rPr>
      </w:pPr>
      <w:r>
        <w:rPr>
          <w:rFonts w:ascii="Times New Roman;serif" w:hAnsi="Times New Roman;serif"/>
          <w:b/>
          <w:i w:val="false"/>
          <w:caps w:val="false"/>
          <w:smallCaps w:val="false"/>
          <w:color w:val="000000"/>
          <w:sz w:val="44"/>
        </w:rPr>
        <w:t>AquaBounty Technologies, Inc.</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88" w:type="dxa"/>
        <w:jc w:val="center"/>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001-36426</w:t>
            </w:r>
            <w:r>
              <w:rPr>
                <w:rFonts w:ascii="Times New Roman;serif" w:hAnsi="Times New Roman;serif"/>
                <w:caps w:val="false"/>
                <w:smallCaps w:val="false"/>
                <w:sz w:val="20"/>
              </w:rPr>
              <w:t xml:space="preserve"> </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04-3156167</w:t>
            </w:r>
            <w:r>
              <w:rPr>
                <w:rFonts w:ascii="Times New Roman;serif" w:hAnsi="Times New Roman;serif"/>
                <w:caps w:val="false"/>
                <w:smallCaps w:val="false"/>
                <w:color w:val="000000"/>
                <w:sz w:val="20"/>
              </w:rPr>
              <w:t xml:space="preserve"> </w:t>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(State or other jurisdiction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of incorporation)</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(Commission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File Number)</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(IRS Employer</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Identification No.)</w:t>
            </w:r>
          </w:p>
        </w:tc>
      </w:tr>
    </w:tbl>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 Ayer Road, Suite 4, Harvard, Massachusetts</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01451</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978-648-6000</w:t>
      </w:r>
    </w:p>
    <w:p>
      <w:pPr>
        <w:pStyle w:val="TextBody"/>
        <w:bidi w:val="0"/>
        <w:spacing w:lineRule="auto" w:line="288" w:before="0" w:after="100"/>
        <w:ind w:left="274" w:right="0" w:hanging="187"/>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9527" w:type="dxa"/>
        <w:jc w:val="left"/>
        <w:tblInd w:w="0" w:type="dxa"/>
        <w:tblLayout w:type="fixed"/>
        <w:tblCellMar>
          <w:top w:w="0" w:type="dxa"/>
          <w:left w:w="0" w:type="dxa"/>
          <w:bottom w:w="0" w:type="dxa"/>
          <w:right w:w="0" w:type="dxa"/>
        </w:tblCellMar>
      </w:tblPr>
      <w:tblGrid>
        <w:gridCol w:w="346"/>
        <w:gridCol w:w="9181"/>
      </w:tblGrid>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718" w:type="dxa"/>
        <w:jc w:val="center"/>
        <w:tblInd w:w="0" w:type="dxa"/>
        <w:tblLayout w:type="fixed"/>
        <w:tblCellMar>
          <w:top w:w="28" w:type="dxa"/>
          <w:left w:w="108" w:type="dxa"/>
          <w:bottom w:w="28" w:type="dxa"/>
          <w:right w:w="108" w:type="dxa"/>
        </w:tblCellMar>
      </w:tblPr>
      <w:tblGrid>
        <w:gridCol w:w="3811"/>
        <w:gridCol w:w="1621"/>
        <w:gridCol w:w="3286"/>
      </w:tblGrid>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exchange on which registered</w:t>
            </w:r>
          </w:p>
        </w:tc>
      </w:tr>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Common Stock, par value $0.001 per share</w:t>
            </w:r>
            <w:r>
              <w:rPr>
                <w:rFonts w:ascii="Times New Roman;serif" w:hAnsi="Times New Roman;serif"/>
                <w:caps w:val="false"/>
                <w:smallCaps w:val="false"/>
                <w:sz w:val="20"/>
              </w:rPr>
              <w:t xml:space="preserve"> </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AQB</w:t>
            </w:r>
            <w:r>
              <w:rPr>
                <w:rFonts w:ascii="Times New Roman;serif" w:hAnsi="Times New Roman;serif"/>
                <w:caps w:val="false"/>
                <w:smallCaps w:val="false"/>
                <w:color w:val="000000"/>
                <w:sz w:val="20"/>
              </w:rPr>
              <w:t xml:space="preserve"> </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The NASDAQ</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Stock Market LLC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Emerging growth company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8.01 Other Events.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0"/>
        </w:rPr>
        <w:t>As</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previously reported in a Form 8-K dated June 25, 2026, at the Annual Meeting of Stockholders of AquaBounty Technologies, Inc. (the “Company”) held on June 23, 2026, the Company’s stockholders approved a proposal granting the Board of Directors (the “Board”) discretionary authority to effect a reverse stock split of the Company’s common stock, par value $0.001 per share, at a ratio ranging from 1-for-5 to 1-for-20, inclusive, with such ratio and the timing of the reverse stock split, if any, to be determined by the Board in its sole discretion, but in no event later than July 31, 2026 (the “Proposed Reverse Stock Split”).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6, 2026, the Board considered whether to implement the Proposed Reverse Stock Split and, after evaluating the Company's current circumstances, determined not to effect the Proposed Reverse Stock Split at this time. The Board has concluded that the Proposed Reverse Stock Split is not in the best interests of the Company and its stockholders.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authority granted by the Company’s stockholders to effect the Proposed Reverse Stock Split will expire on July 31, 2026 without having been exercised by the Board. Accordingly, no amendment to the Company’s Certificate of Incorporation will be filed in connection with the Proposed Reverse Stock Split, and no further action with respect to the Proposed Reverse Stock Split will be taken.</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0"/>
        </w:rPr>
        <w:t>If the Company determines in the future that a reverse stock split would be in the best interests of the Company and its stockholders, the Company will seek new stockholder approval at that time</w:t>
      </w:r>
      <w:r>
        <w:rPr>
          <w:rFonts w:ascii="Times New Roman;serif" w:hAnsi="Times New Roman;serif"/>
          <w:b w:val="false"/>
          <w:i w:val="false"/>
          <w:caps w:val="false"/>
          <w:smallCaps w:val="false"/>
          <w:sz w:val="24"/>
        </w:rPr>
        <w: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 Exhibits.</w:t>
      </w:r>
    </w:p>
    <w:tbl>
      <w:tblPr>
        <w:tblW w:w="9182" w:type="dxa"/>
        <w:jc w:val="left"/>
        <w:tblInd w:w="0" w:type="dxa"/>
        <w:tblLayout w:type="fixed"/>
        <w:tblCellMar>
          <w:top w:w="0" w:type="dxa"/>
          <w:left w:w="0" w:type="dxa"/>
          <w:bottom w:w="0" w:type="dxa"/>
          <w:right w:w="0" w:type="dxa"/>
        </w:tblCellMar>
      </w:tblPr>
      <w:tblGrid>
        <w:gridCol w:w="436"/>
        <w:gridCol w:w="8746"/>
      </w:tblGrid>
      <w:tr>
        <w:trPr/>
        <w:tc>
          <w:tcPr>
            <w:tcW w:w="436" w:type="dxa"/>
            <w:tcBorders/>
            <w:vAlign w:val="center"/>
          </w:tcPr>
          <w:p>
            <w:pPr>
              <w:pStyle w:val="TableContents"/>
              <w:bidi w:val="0"/>
              <w:spacing w:before="0" w:after="283"/>
              <w:jc w:val="left"/>
              <w:rPr>
                <w:sz w:val="4"/>
                <w:szCs w:val="4"/>
              </w:rPr>
            </w:pPr>
            <w:r>
              <w:rPr>
                <w:sz w:val="4"/>
                <w:szCs w:val="4"/>
              </w:rPr>
            </w:r>
          </w:p>
        </w:tc>
        <w:tc>
          <w:tcPr>
            <w:tcW w:w="8746" w:type="dxa"/>
            <w:tcBorders/>
            <w:vAlign w:val="center"/>
          </w:tcPr>
          <w:p>
            <w:pPr>
              <w:pStyle w:val="TableContents"/>
              <w:bidi w:val="0"/>
              <w:spacing w:before="0" w:after="283"/>
              <w:jc w:val="left"/>
              <w:rPr>
                <w:sz w:val="4"/>
                <w:szCs w:val="4"/>
              </w:rPr>
            </w:pPr>
            <w:r>
              <w:rPr>
                <w:sz w:val="4"/>
                <w:szCs w:val="4"/>
              </w:rPr>
            </w:r>
          </w:p>
        </w:tc>
      </w:tr>
      <w:tr>
        <w:trPr/>
        <w:tc>
          <w:tcPr>
            <w:tcW w:w="43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874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(the cover page XBRL tags are embedded in the Inline XBRL document).</w:t>
            </w:r>
          </w:p>
        </w:tc>
      </w:tr>
    </w:tbl>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br/>
        <w:t>‎</w:t>
      </w:r>
      <w:r>
        <w:rPr>
          <w:rFonts w:ascii="Times New Roman;serif" w:hAnsi="Times New Roman;serif"/>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SIGNATURES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tbl>
      <w:tblPr>
        <w:tblW w:w="7506" w:type="dxa"/>
        <w:jc w:val="left"/>
        <w:tblInd w:w="0" w:type="dxa"/>
        <w:tblLayout w:type="fixed"/>
        <w:tblCellMar>
          <w:top w:w="0" w:type="dxa"/>
          <w:left w:w="0" w:type="dxa"/>
          <w:bottom w:w="0" w:type="dxa"/>
          <w:right w:w="0" w:type="dxa"/>
        </w:tblCellMar>
      </w:tblPr>
      <w:tblGrid>
        <w:gridCol w:w="1606"/>
        <w:gridCol w:w="109"/>
        <w:gridCol w:w="5791"/>
      </w:tblGrid>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AquaBounty Technologies, Inc.</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July 8, 2026</w:t>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David A. Frank</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David A. Frank</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Interim Chief Executive Officer, Chief Financial Officer and Treasurer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647</Words>
  <Characters>3465</Characters>
  <CharactersWithSpaces>4067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