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aqb-20260806x8k.htm"/>
      <w:bookmarkStart w:id="1" w:name="ksaqb20260806x8k"/>
      <w:bookmarkStart w:id="2" w:name="aqb-20260806x8k.htm"/>
      <w:bookmarkStart w:id="3" w:name="ksaqb20260806x8k"/>
      <w:bookmarkEnd w:id="2"/>
      <w:bookmarkEnd w:id="3"/>
    </w:p>
    <w:tbl>
      <w:tblPr>
        <w:tblW w:w="169" w:type="dxa"/>
        <w:jc w:val="center"/>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double" w:sz="6"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UNITED STATES</w:t>
      </w:r>
    </w:p>
    <w:p>
      <w:pPr>
        <w:pStyle w:val="TextBody"/>
        <w:bidi w:val="0"/>
        <w:spacing w:lineRule="auto" w:line="288"/>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SECURITIES AND EXCHANGE COMMISSION</w:t>
      </w:r>
    </w:p>
    <w:p>
      <w:pPr>
        <w:pStyle w:val="TextBody"/>
        <w:bidi w:val="0"/>
        <w:spacing w:lineRule="auto" w:line="288"/>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Washington, D.C. 20549</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__________</w:t>
      </w:r>
    </w:p>
    <w:p>
      <w:pPr>
        <w:pStyle w:val="TextBody"/>
        <w:bidi w:val="0"/>
        <w:spacing w:lineRule="auto" w:line="288"/>
        <w:rPr>
          <w:rFonts w:ascii="Times New Roman;serif" w:hAnsi="Times New Roman;serif"/>
          <w:b/>
          <w:i w:val="false"/>
          <w:caps w:val="false"/>
          <w:smallCaps w:val="false"/>
          <w:sz w:val="44"/>
        </w:rPr>
      </w:pPr>
      <w:r>
        <w:rPr>
          <w:rFonts w:ascii="Times New Roman;serif" w:hAnsi="Times New Roman;serif"/>
          <w:b/>
          <w:i w:val="false"/>
          <w:caps w:val="false"/>
          <w:smallCaps w:val="false"/>
          <w:sz w:val="44"/>
        </w:rPr>
        <w:t>Form 8-K</w:t>
      </w:r>
    </w:p>
    <w:p>
      <w:pPr>
        <w:pStyle w:val="TextBody"/>
        <w:bidi w:val="0"/>
        <w:spacing w:lineRule="auto" w:line="288"/>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CURRENT REPORT</w:t>
      </w:r>
    </w:p>
    <w:p>
      <w:pPr>
        <w:pStyle w:val="TextBody"/>
        <w:bidi w:val="0"/>
        <w:spacing w:lineRule="auto" w:line="288"/>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Pursuant to Section 13 or 15(d) of The Securities Exchange Act of 1934</w:t>
      </w:r>
    </w:p>
    <w:p>
      <w:pPr>
        <w:pStyle w:val="TextBody"/>
        <w:bidi w:val="0"/>
        <w:spacing w:lineRule="auto" w:line="288"/>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Date of Report (Date of earliest event reported) August 6, 2026</w:t>
      </w:r>
    </w:p>
    <w:p>
      <w:pPr>
        <w:pStyle w:val="TextBody"/>
        <w:bidi w:val="0"/>
        <w:spacing w:lineRule="auto" w:line="288"/>
        <w:rPr>
          <w:rFonts w:ascii="Times New Roman;serif" w:hAnsi="Times New Roman;serif"/>
          <w:b/>
          <w:i w:val="false"/>
          <w:caps w:val="false"/>
          <w:smallCaps w:val="false"/>
          <w:color w:val="000000"/>
          <w:sz w:val="44"/>
        </w:rPr>
      </w:pPr>
      <w:r>
        <w:rPr>
          <w:rFonts w:ascii="Times New Roman;serif" w:hAnsi="Times New Roman;serif"/>
          <w:b/>
          <w:i w:val="false"/>
          <w:caps w:val="false"/>
          <w:smallCaps w:val="false"/>
          <w:color w:val="000000"/>
          <w:sz w:val="44"/>
        </w:rPr>
        <w:t>AquaBounty Technologies, Inc.</w:t>
      </w:r>
    </w:p>
    <w:p>
      <w:pPr>
        <w:pStyle w:val="TextBody"/>
        <w:bidi w:val="0"/>
        <w:spacing w:lineRule="auto" w:line="288"/>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(Exact name of registrant as specified in its charter)</w:t>
      </w:r>
    </w:p>
    <w:tbl>
      <w:tblPr>
        <w:tblW w:w="5088" w:type="dxa"/>
        <w:jc w:val="center"/>
        <w:tblInd w:w="0" w:type="dxa"/>
        <w:tblLayout w:type="fixed"/>
        <w:tblCellMar>
          <w:top w:w="0" w:type="dxa"/>
          <w:left w:w="0" w:type="dxa"/>
          <w:bottom w:w="0" w:type="dxa"/>
          <w:right w:w="0" w:type="dxa"/>
        </w:tblCellMar>
      </w:tblPr>
      <w:tblGrid>
        <w:gridCol w:w="2251"/>
        <w:gridCol w:w="1186"/>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color w:val="000000"/>
                <w:sz w:val="20"/>
              </w:rPr>
              <w:t>Delaware</w:t>
            </w:r>
            <w:r>
              <w:rPr>
                <w:rFonts w:ascii="Times New Roman;serif" w:hAnsi="Times New Roman;serif"/>
                <w:caps w:val="false"/>
                <w:smallCaps w:val="false"/>
                <w:color w:val="000000"/>
                <w:sz w:val="20"/>
              </w:rPr>
              <w:t xml:space="preserve"> </w:t>
            </w:r>
          </w:p>
        </w:tc>
        <w:tc>
          <w:tcPr>
            <w:tcW w:w="118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sz w:val="20"/>
              </w:rPr>
              <w:t>001-36426</w:t>
            </w:r>
            <w:r>
              <w:rPr>
                <w:rFonts w:ascii="Times New Roman;serif" w:hAnsi="Times New Roman;serif"/>
                <w:caps w:val="false"/>
                <w:smallCaps w:val="false"/>
                <w:sz w:val="20"/>
              </w:rPr>
              <w:t xml:space="preserve"> </w:t>
            </w:r>
          </w:p>
        </w:tc>
        <w:tc>
          <w:tcPr>
            <w:tcW w:w="165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color w:val="000000"/>
                <w:sz w:val="20"/>
              </w:rPr>
              <w:t>04-3156167</w:t>
            </w:r>
            <w:r>
              <w:rPr>
                <w:rFonts w:ascii="Times New Roman;serif" w:hAnsi="Times New Roman;serif"/>
                <w:caps w:val="false"/>
                <w:smallCaps w:val="false"/>
                <w:color w:val="000000"/>
                <w:sz w:val="20"/>
              </w:rPr>
              <w:t xml:space="preserve"> </w:t>
            </w:r>
          </w:p>
        </w:tc>
      </w:tr>
      <w:tr>
        <w:trPr/>
        <w:tc>
          <w:tcPr>
            <w:tcW w:w="225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(State or other jurisdiction</w:t>
            </w:r>
            <w:r>
              <w:rPr>
                <w:rFonts w:ascii="Times New Roman;serif" w:hAnsi="Times New Roman;serif"/>
                <w:b w:val="false"/>
                <w:i w:val="false"/>
                <w:caps w:val="false"/>
                <w:smallCaps w:val="false"/>
                <w:sz w:val="20"/>
              </w:rPr>
              <w:br/>
              <w:t>‎</w:t>
            </w:r>
            <w:r>
              <w:rPr>
                <w:rFonts w:ascii="Times New Roman;serif" w:hAnsi="Times New Roman;serif"/>
                <w:b w:val="false"/>
                <w:i w:val="false"/>
                <w:caps w:val="false"/>
                <w:smallCaps w:val="false"/>
                <w:color w:val="000000"/>
                <w:sz w:val="20"/>
              </w:rPr>
              <w:t>of incorporation)</w:t>
            </w:r>
          </w:p>
        </w:tc>
        <w:tc>
          <w:tcPr>
            <w:tcW w:w="118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(Commission</w:t>
            </w:r>
            <w:r>
              <w:rPr>
                <w:rFonts w:ascii="Times New Roman;serif" w:hAnsi="Times New Roman;serif"/>
                <w:b w:val="false"/>
                <w:i w:val="false"/>
                <w:caps w:val="false"/>
                <w:smallCaps w:val="false"/>
                <w:sz w:val="20"/>
              </w:rPr>
              <w:br/>
              <w:t>‎</w:t>
            </w:r>
            <w:r>
              <w:rPr>
                <w:rFonts w:ascii="Times New Roman;serif" w:hAnsi="Times New Roman;serif"/>
                <w:b w:val="false"/>
                <w:i w:val="false"/>
                <w:caps w:val="false"/>
                <w:smallCaps w:val="false"/>
                <w:color w:val="000000"/>
                <w:sz w:val="20"/>
              </w:rPr>
              <w:t>File Number)</w:t>
            </w:r>
          </w:p>
        </w:tc>
        <w:tc>
          <w:tcPr>
            <w:tcW w:w="165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(IRS Employer</w:t>
            </w:r>
            <w:r>
              <w:rPr>
                <w:rFonts w:ascii="Times New Roman;serif" w:hAnsi="Times New Roman;serif"/>
                <w:b w:val="false"/>
                <w:i w:val="false"/>
                <w:caps w:val="false"/>
                <w:smallCaps w:val="false"/>
                <w:sz w:val="20"/>
              </w:rPr>
              <w:br/>
              <w:t>‎</w:t>
            </w:r>
            <w:r>
              <w:rPr>
                <w:rFonts w:ascii="Times New Roman;serif" w:hAnsi="Times New Roman;serif"/>
                <w:b w:val="false"/>
                <w:i w:val="false"/>
                <w:caps w:val="false"/>
                <w:smallCaps w:val="false"/>
                <w:color w:val="000000"/>
                <w:sz w:val="20"/>
              </w:rPr>
              <w:t>Identification No.)</w:t>
            </w:r>
          </w:p>
        </w:tc>
      </w:tr>
    </w:tbl>
    <w:p>
      <w:pPr>
        <w:pStyle w:val="TextBody"/>
        <w:bidi w:val="0"/>
        <w:spacing w:lineRule="auto" w:line="288"/>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233 Ayer Road, Suite 4, Harvard, Massachusetts</w:t>
      </w:r>
    </w:p>
    <w:p>
      <w:pPr>
        <w:pStyle w:val="TextBody"/>
        <w:bidi w:val="0"/>
        <w:spacing w:lineRule="auto" w:line="288"/>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(Address of principal executive offices)</w:t>
      </w:r>
    </w:p>
    <w:p>
      <w:pPr>
        <w:pStyle w:val="TextBody"/>
        <w:bidi w:val="0"/>
        <w:spacing w:lineRule="auto" w:line="288"/>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01451</w:t>
      </w:r>
    </w:p>
    <w:p>
      <w:pPr>
        <w:pStyle w:val="TextBody"/>
        <w:bidi w:val="0"/>
        <w:spacing w:lineRule="auto" w:line="288"/>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(Zip Code)</w:t>
      </w:r>
    </w:p>
    <w:p>
      <w:pPr>
        <w:pStyle w:val="TextBody"/>
        <w:bidi w:val="0"/>
        <w:spacing w:lineRule="auto" w:line="288"/>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978-648-6000</w:t>
      </w:r>
    </w:p>
    <w:p>
      <w:pPr>
        <w:pStyle w:val="TextBody"/>
        <w:bidi w:val="0"/>
        <w:spacing w:lineRule="auto" w:line="288" w:before="0" w:after="100"/>
        <w:ind w:left="274" w:right="0" w:hanging="187"/>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(Registrant’s telephone number, including area code)</w:t>
      </w:r>
    </w:p>
    <w:p>
      <w:pPr>
        <w:pStyle w:val="TextBody"/>
        <w:bidi w:val="0"/>
        <w:spacing w:lineRule="auto" w:line="288"/>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(Former name or former address, if changed since last report.)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Check the appropriate box below if the Form 8-K filing is intended to simultaneously satisfy the filing obligation of the registrant under any of the following provisions:</w:t>
      </w:r>
    </w:p>
    <w:tbl>
      <w:tblPr>
        <w:tblW w:w="9527" w:type="dxa"/>
        <w:jc w:val="left"/>
        <w:tblInd w:w="0" w:type="dxa"/>
        <w:tblLayout w:type="fixed"/>
        <w:tblCellMar>
          <w:top w:w="0" w:type="dxa"/>
          <w:left w:w="0" w:type="dxa"/>
          <w:bottom w:w="0" w:type="dxa"/>
          <w:right w:w="0" w:type="dxa"/>
        </w:tblCellMar>
      </w:tblPr>
      <w:tblGrid>
        <w:gridCol w:w="346"/>
        <w:gridCol w:w="9181"/>
      </w:tblGrid>
      <w:tr>
        <w:trPr/>
        <w:tc>
          <w:tcPr>
            <w:tcW w:w="3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lineRule="auto" w:line="259" w:before="0" w:after="283"/>
              <w:rPr>
                <w:rFonts w:ascii="Times New Roman;serif" w:hAnsi="Times New Roman;serif"/>
                <w:sz w:val="20"/>
              </w:rPr>
            </w:pPr>
            <w:r>
              <w:rPr>
                <w:rFonts w:ascii="Wingdings" w:hAnsi="Wingdings"/>
                <w:b w:val="false"/>
                <w:i w:val="false"/>
                <w:caps w:val="false"/>
                <w:smallCaps w:val="false"/>
                <w:sz w:val="20"/>
              </w:rPr>
              <w:t>o</w:t>
            </w:r>
            <w:r>
              <w:rPr>
                <w:rFonts w:ascii="Times New Roman;serif" w:hAnsi="Times New Roman;serif"/>
                <w:caps w:val="false"/>
                <w:smallCaps w:val="false"/>
                <w:sz w:val="20"/>
              </w:rPr>
              <w:t xml:space="preserve"> </w:t>
            </w:r>
          </w:p>
        </w:tc>
        <w:tc>
          <w:tcPr>
            <w:tcW w:w="9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Written communications pursuant to Rule 425 under the Securities Act (17 CFR 230.425)</w:t>
            </w:r>
          </w:p>
        </w:tc>
      </w:tr>
      <w:tr>
        <w:trPr/>
        <w:tc>
          <w:tcPr>
            <w:tcW w:w="346" w:type="dxa"/>
            <w:tcBorders/>
            <w:vAlign w:val="center"/>
          </w:tcPr>
          <w:p>
            <w:pPr>
              <w:pStyle w:val="TableContents"/>
              <w:bidi w:val="0"/>
              <w:spacing w:lineRule="auto" w:line="259" w:before="0" w:after="283"/>
              <w:rPr>
                <w:rFonts w:ascii="Times New Roman;serif" w:hAnsi="Times New Roman;serif"/>
                <w:sz w:val="20"/>
              </w:rPr>
            </w:pPr>
            <w:r>
              <w:rPr>
                <w:rFonts w:ascii="Wingdings" w:hAnsi="Wingdings"/>
                <w:b w:val="false"/>
                <w:i w:val="false"/>
                <w:caps w:val="false"/>
                <w:smallCaps w:val="false"/>
                <w:sz w:val="20"/>
              </w:rPr>
              <w:t>o</w:t>
            </w:r>
            <w:r>
              <w:rPr>
                <w:rFonts w:ascii="Times New Roman;serif" w:hAnsi="Times New Roman;serif"/>
                <w:caps w:val="false"/>
                <w:smallCaps w:val="false"/>
                <w:sz w:val="20"/>
              </w:rPr>
              <w:t xml:space="preserve"> </w:t>
            </w:r>
          </w:p>
        </w:tc>
        <w:tc>
          <w:tcPr>
            <w:tcW w:w="9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Soliciting material pursuant to Rule 14a-12 under the Exchange Act (17 CFR 240.14a-12)</w:t>
            </w:r>
          </w:p>
        </w:tc>
      </w:tr>
      <w:tr>
        <w:trPr/>
        <w:tc>
          <w:tcPr>
            <w:tcW w:w="346" w:type="dxa"/>
            <w:tcBorders/>
            <w:vAlign w:val="center"/>
          </w:tcPr>
          <w:p>
            <w:pPr>
              <w:pStyle w:val="TableContents"/>
              <w:bidi w:val="0"/>
              <w:spacing w:lineRule="auto" w:line="259" w:before="0" w:after="283"/>
              <w:rPr>
                <w:rFonts w:ascii="Times New Roman;serif" w:hAnsi="Times New Roman;serif"/>
                <w:sz w:val="20"/>
              </w:rPr>
            </w:pPr>
            <w:r>
              <w:rPr>
                <w:rFonts w:ascii="Wingdings" w:hAnsi="Wingdings"/>
                <w:b w:val="false"/>
                <w:i w:val="false"/>
                <w:caps w:val="false"/>
                <w:smallCaps w:val="false"/>
                <w:sz w:val="20"/>
              </w:rPr>
              <w:t>o</w:t>
            </w:r>
            <w:r>
              <w:rPr>
                <w:rFonts w:ascii="Times New Roman;serif" w:hAnsi="Times New Roman;serif"/>
                <w:caps w:val="false"/>
                <w:smallCaps w:val="false"/>
                <w:sz w:val="20"/>
              </w:rPr>
              <w:t xml:space="preserve"> </w:t>
            </w:r>
          </w:p>
        </w:tc>
        <w:tc>
          <w:tcPr>
            <w:tcW w:w="9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Pre-commencement communications pursuant to Rule 14d-2(b) under the Exchange Act (17 CFR 240.14d-2(b))</w:t>
            </w:r>
          </w:p>
        </w:tc>
      </w:tr>
      <w:tr>
        <w:trPr/>
        <w:tc>
          <w:tcPr>
            <w:tcW w:w="346" w:type="dxa"/>
            <w:tcBorders/>
            <w:vAlign w:val="center"/>
          </w:tcPr>
          <w:p>
            <w:pPr>
              <w:pStyle w:val="TableContents"/>
              <w:bidi w:val="0"/>
              <w:spacing w:lineRule="auto" w:line="259" w:before="0" w:after="283"/>
              <w:rPr>
                <w:rFonts w:ascii="Times New Roman;serif" w:hAnsi="Times New Roman;serif"/>
                <w:sz w:val="20"/>
              </w:rPr>
            </w:pPr>
            <w:r>
              <w:rPr>
                <w:rFonts w:ascii="Wingdings" w:hAnsi="Wingdings"/>
                <w:b w:val="false"/>
                <w:i w:val="false"/>
                <w:caps w:val="false"/>
                <w:smallCaps w:val="false"/>
                <w:sz w:val="20"/>
              </w:rPr>
              <w:t>o</w:t>
            </w:r>
            <w:r>
              <w:rPr>
                <w:rFonts w:ascii="Times New Roman;serif" w:hAnsi="Times New Roman;serif"/>
                <w:caps w:val="false"/>
                <w:smallCaps w:val="false"/>
                <w:sz w:val="20"/>
              </w:rPr>
              <w:t xml:space="preserve"> </w:t>
            </w:r>
          </w:p>
        </w:tc>
        <w:tc>
          <w:tcPr>
            <w:tcW w:w="9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Pre-commencement communications pursuant to Rule 13e-4(c) under the Exchange Act (17 CFR 240.13e-4(c))</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registered pursuant to Section 12(b) of the Act:</w:t>
      </w:r>
    </w:p>
    <w:tbl>
      <w:tblPr>
        <w:tblW w:w="8718" w:type="dxa"/>
        <w:jc w:val="center"/>
        <w:tblInd w:w="0" w:type="dxa"/>
        <w:tblLayout w:type="fixed"/>
        <w:tblCellMar>
          <w:top w:w="28" w:type="dxa"/>
          <w:left w:w="108" w:type="dxa"/>
          <w:bottom w:w="28" w:type="dxa"/>
          <w:right w:w="108" w:type="dxa"/>
        </w:tblCellMar>
      </w:tblPr>
      <w:tblGrid>
        <w:gridCol w:w="3811"/>
        <w:gridCol w:w="1621"/>
        <w:gridCol w:w="3286"/>
      </w:tblGrid>
      <w:tr>
        <w:trPr/>
        <w:tc>
          <w:tcPr>
            <w:tcW w:w="38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Title of each class</w:t>
            </w:r>
          </w:p>
        </w:tc>
        <w:tc>
          <w:tcPr>
            <w:tcW w:w="16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Trading Symbol(s)</w:t>
            </w:r>
          </w:p>
        </w:tc>
        <w:tc>
          <w:tcPr>
            <w:tcW w:w="32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Name of exchange on which registered</w:t>
            </w:r>
          </w:p>
        </w:tc>
      </w:tr>
      <w:tr>
        <w:trPr/>
        <w:tc>
          <w:tcPr>
            <w:tcW w:w="38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sz w:val="20"/>
              </w:rPr>
              <w:t>Common Stock, par value $0.001 per share</w:t>
            </w:r>
            <w:r>
              <w:rPr>
                <w:rFonts w:ascii="Times New Roman;serif" w:hAnsi="Times New Roman;serif"/>
                <w:caps w:val="false"/>
                <w:smallCaps w:val="false"/>
                <w:sz w:val="20"/>
              </w:rPr>
              <w:t xml:space="preserve"> </w:t>
            </w:r>
          </w:p>
        </w:tc>
        <w:tc>
          <w:tcPr>
            <w:tcW w:w="16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color w:val="000000"/>
                <w:sz w:val="20"/>
              </w:rPr>
              <w:t>AQB</w:t>
            </w:r>
            <w:r>
              <w:rPr>
                <w:rFonts w:ascii="Times New Roman;serif" w:hAnsi="Times New Roman;serif"/>
                <w:caps w:val="false"/>
                <w:smallCaps w:val="false"/>
                <w:color w:val="000000"/>
                <w:sz w:val="20"/>
              </w:rPr>
              <w:t xml:space="preserve"> </w:t>
            </w:r>
          </w:p>
        </w:tc>
        <w:tc>
          <w:tcPr>
            <w:tcW w:w="32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color w:val="000000"/>
                <w:sz w:val="20"/>
              </w:rPr>
              <w:t>The NASDAQ</w:t>
            </w:r>
            <w:r>
              <w:rPr>
                <w:rFonts w:ascii="Times New Roman;serif" w:hAnsi="Times New Roman;serif"/>
                <w:caps w:val="false"/>
                <w:smallCaps w:val="false"/>
                <w:color w:val="000000"/>
                <w:sz w:val="20"/>
              </w:rPr>
              <w:t xml:space="preserve"> </w:t>
            </w:r>
            <w:r>
              <w:rPr>
                <w:rFonts w:ascii="Times New Roman;serif" w:hAnsi="Times New Roman;serif"/>
                <w:b/>
                <w:i w:val="false"/>
                <w:caps w:val="false"/>
                <w:smallCaps w:val="false"/>
                <w:color w:val="000000"/>
                <w:sz w:val="20"/>
              </w:rPr>
              <w:t xml:space="preserve">Stock Market LLC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Emerging growth company    </w:t>
      </w:r>
      <w:r>
        <w:rPr>
          <w:rFonts w:ascii="Wingdings" w:hAnsi="Wingdings"/>
          <w:b w:val="false"/>
          <w:i w:val="false"/>
          <w:caps w:val="false"/>
          <w:smallCaps w:val="false"/>
          <w:sz w:val="20"/>
        </w:rPr>
        <w:t>o</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7.01 Regulation FD Disclosure.</w:t>
      </w:r>
    </w:p>
    <w:p>
      <w:pPr>
        <w:pStyle w:val="TextBody"/>
        <w:shd w:fill="FFFFFF" w:val="clear"/>
        <w:bidi w:val="0"/>
        <w:spacing w:lineRule="auto" w:line="259"/>
        <w:rPr>
          <w:caps w:val="false"/>
          <w:smallCaps w:val="false"/>
          <w:color w:val="242424"/>
        </w:rPr>
      </w:pPr>
      <w:r>
        <w:rPr>
          <w:caps w:val="false"/>
          <w:smallCaps w:val="false"/>
          <w:color w:val="242424"/>
        </w:rPr>
        <w:t> </w:t>
      </w:r>
    </w:p>
    <w:p>
      <w:pPr>
        <w:pStyle w:val="TextBody"/>
        <w:shd w:fill="FFFFFF" w:val="clear"/>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August 6, 2026, AquaBounty Technologies, Inc. (the “Company”) issued a press release providing an update on the Company’s strategic review process regarding its Ohio farm property.  A copy of the press release is attached hereto as Exhibit 99.1 and is incorporated by reference herein.</w:t>
      </w:r>
    </w:p>
    <w:p>
      <w:pPr>
        <w:pStyle w:val="TextBody"/>
        <w:shd w:fill="FFFFFF" w:val="clear"/>
        <w:bidi w:val="0"/>
        <w:spacing w:lineRule="auto" w:line="259"/>
        <w:rPr>
          <w:caps w:val="false"/>
          <w:smallCaps w:val="false"/>
        </w:rPr>
      </w:pPr>
      <w:r>
        <w:rPr>
          <w:caps w:val="false"/>
          <w:smallCaps w:val="false"/>
        </w:rPr>
        <w:t> </w:t>
      </w:r>
    </w:p>
    <w:p>
      <w:pPr>
        <w:pStyle w:val="TextBody"/>
        <w:shd w:fill="FFFFFF" w:val="clear"/>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information set forth in this Item 7.01,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by the Company under the Securities Act of 1933, as amended, or the Exchange Act, except as expressly set forth by specific reference in such filing.</w:t>
      </w:r>
    </w:p>
    <w:p>
      <w:pPr>
        <w:pStyle w:val="TextBody"/>
        <w:shd w:fill="FFFFFF" w:val="clear"/>
        <w:bidi w:val="0"/>
        <w:spacing w:lineRule="auto" w:line="259"/>
        <w:rPr>
          <w:caps w:val="false"/>
          <w:smallCaps w:val="false"/>
          <w:color w:val="242424"/>
        </w:rPr>
      </w:pPr>
      <w:r>
        <w:rPr>
          <w:caps w:val="false"/>
          <w:smallCaps w:val="false"/>
          <w:color w:val="242424"/>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9.01. Financial Statements and Exhibits.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 Exhibits.</w:t>
      </w:r>
    </w:p>
    <w:tbl>
      <w:tblPr>
        <w:tblW w:w="9227" w:type="dxa"/>
        <w:jc w:val="left"/>
        <w:tblInd w:w="0" w:type="dxa"/>
        <w:tblLayout w:type="fixed"/>
        <w:tblCellMar>
          <w:top w:w="0" w:type="dxa"/>
          <w:left w:w="0" w:type="dxa"/>
          <w:bottom w:w="0" w:type="dxa"/>
          <w:right w:w="0" w:type="dxa"/>
        </w:tblCellMar>
      </w:tblPr>
      <w:tblGrid>
        <w:gridCol w:w="481"/>
        <w:gridCol w:w="8746"/>
      </w:tblGrid>
      <w:tr>
        <w:trPr/>
        <w:tc>
          <w:tcPr>
            <w:tcW w:w="481" w:type="dxa"/>
            <w:tcBorders/>
            <w:vAlign w:val="center"/>
          </w:tcPr>
          <w:p>
            <w:pPr>
              <w:pStyle w:val="TableContents"/>
              <w:bidi w:val="0"/>
              <w:spacing w:before="0" w:after="283"/>
              <w:jc w:val="left"/>
              <w:rPr>
                <w:sz w:val="4"/>
                <w:szCs w:val="4"/>
              </w:rPr>
            </w:pPr>
            <w:r>
              <w:rPr>
                <w:sz w:val="4"/>
                <w:szCs w:val="4"/>
              </w:rPr>
            </w:r>
          </w:p>
        </w:tc>
        <w:tc>
          <w:tcPr>
            <w:tcW w:w="8746" w:type="dxa"/>
            <w:tcBorders/>
            <w:vAlign w:val="center"/>
          </w:tcPr>
          <w:p>
            <w:pPr>
              <w:pStyle w:val="TableContents"/>
              <w:bidi w:val="0"/>
              <w:spacing w:before="0" w:after="283"/>
              <w:jc w:val="left"/>
              <w:rPr>
                <w:sz w:val="4"/>
                <w:szCs w:val="4"/>
              </w:rPr>
            </w:pPr>
            <w:r>
              <w:rPr>
                <w:sz w:val="4"/>
                <w:szCs w:val="4"/>
              </w:rPr>
            </w:r>
          </w:p>
        </w:tc>
      </w:tr>
      <w:tr>
        <w:trPr/>
        <w:tc>
          <w:tcPr>
            <w:tcW w:w="481"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left"/>
              <w:rPr/>
            </w:pPr>
            <w:hyperlink w:anchor="aqb-20260806xex99_1.htm">
              <w:r>
                <w:rPr>
                  <w:rStyle w:val="InternetLink"/>
                  <w:rFonts w:ascii="Times New Roman;serif" w:hAnsi="Times New Roman;serif"/>
                  <w:b w:val="false"/>
                  <w:i w:val="false"/>
                  <w:caps w:val="false"/>
                  <w:smallCaps w:val="false"/>
                  <w:color w:val="0000FF"/>
                  <w:sz w:val="20"/>
                  <w:u w:val="single"/>
                </w:rPr>
                <w:t>99.1</w:t>
              </w:r>
            </w:hyperlink>
          </w:p>
        </w:tc>
        <w:tc>
          <w:tcPr>
            <w:tcW w:w="8746"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left"/>
              <w:rPr/>
            </w:pPr>
            <w:hyperlink w:anchor="aqb-20260806xex99_1.htm">
              <w:r>
                <w:rPr>
                  <w:rStyle w:val="InternetLink"/>
                  <w:rFonts w:ascii="Times New Roman;serif" w:hAnsi="Times New Roman;serif"/>
                  <w:b w:val="false"/>
                  <w:i w:val="false"/>
                  <w:caps w:val="false"/>
                  <w:smallCaps w:val="false"/>
                  <w:color w:val="0000FF"/>
                  <w:sz w:val="20"/>
                  <w:u w:val="single"/>
                </w:rPr>
                <w:t>Press release issued by AquaBounty Technologies, Inc. on August 6, 2026. Furnished herewith</w:t>
              </w:r>
            </w:hyperlink>
            <w:r>
              <w:rPr>
                <w:rFonts w:ascii="Times New Roman;serif" w:hAnsi="Times New Roman;serif"/>
                <w:b w:val="false"/>
                <w:i w:val="false"/>
                <w:caps w:val="false"/>
                <w:smallCaps w:val="false"/>
                <w:sz w:val="20"/>
              </w:rPr>
              <w:t>.</w:t>
            </w:r>
          </w:p>
        </w:tc>
      </w:tr>
      <w:tr>
        <w:trPr/>
        <w:tc>
          <w:tcPr>
            <w:tcW w:w="481"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w:t>
            </w:r>
          </w:p>
        </w:tc>
        <w:tc>
          <w:tcPr>
            <w:tcW w:w="8746"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Cover Page Interactive Data File (the cover page XBRL tags are embedded in the Inline XBRL document).</w:t>
            </w:r>
          </w:p>
        </w:tc>
      </w:tr>
    </w:tbl>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sz w:val="24"/>
        </w:rPr>
        <w:br/>
        <w:t>‎</w:t>
      </w:r>
      <w:r>
        <w:rPr>
          <w:rFonts w:ascii="Times New Roman;serif" w:hAnsi="Times New Roman;serif"/>
          <w:caps w:val="false"/>
          <w:smallCaps w:val="false"/>
          <w:sz w:val="24"/>
        </w:rPr>
        <w:t xml:space="preserve"> </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SIGNATURES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Pursuant to the requirements of the Securities Exchange Act of 1934, the registrant has duly caused this report to be signed on its behalf by the undersigned hereunto duly authorized.</w:t>
      </w:r>
    </w:p>
    <w:tbl>
      <w:tblPr>
        <w:tblW w:w="7746" w:type="dxa"/>
        <w:jc w:val="left"/>
        <w:tblInd w:w="0" w:type="dxa"/>
        <w:tblLayout w:type="fixed"/>
        <w:tblCellMar>
          <w:top w:w="0" w:type="dxa"/>
          <w:left w:w="0" w:type="dxa"/>
          <w:bottom w:w="0" w:type="dxa"/>
          <w:right w:w="0" w:type="dxa"/>
        </w:tblCellMar>
      </w:tblPr>
      <w:tblGrid>
        <w:gridCol w:w="1846"/>
        <w:gridCol w:w="109"/>
        <w:gridCol w:w="579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AquaBounty Technologies, Inc.</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(Registrant)</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Date: August 6, 2026</w:t>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David A. Frank</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David A. Frank</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Interim Chief Executive Officer, Chief Financial Officer and Treasurer</w:t>
            </w:r>
          </w:p>
        </w:tc>
      </w:tr>
    </w:tbl>
    <w:p>
      <w:pPr>
        <w:pStyle w:val="TextBody"/>
        <w:bidi w:val="0"/>
        <w:spacing w:lineRule="auto" w:line="240" w:before="0" w:after="0"/>
        <w:ind w:left="720" w:right="720" w:hanging="0"/>
        <w:jc w:val="right"/>
        <w:rPr>
          <w:rFonts w:ascii="Calibri" w:hAnsi="Calibri"/>
          <w:sz w:val="20"/>
        </w:rPr>
      </w:pPr>
      <w:bookmarkStart w:id="4" w:name="aqb-20260806xex99_1.htm"/>
      <w:bookmarkStart w:id="5" w:name="ksaqb20260806xex99_1"/>
      <w:bookmarkEnd w:id="4"/>
      <w:bookmarkEnd w:id="5"/>
      <w:r>
        <w:rPr>
          <w:rFonts w:ascii="Times New Roman" w:hAnsi="Times New Roman"/>
          <w:b/>
          <w:sz w:val="20"/>
        </w:rPr>
        <w:t>Exhibit 99.1</w:t>
      </w:r>
      <w:r>
        <w:rPr>
          <w:rFonts w:ascii="Calibri" w:hAnsi="Calibri"/>
          <w:sz w:val="20"/>
        </w:rPr>
        <w:t xml:space="preserve"> </w:t>
      </w:r>
      <w:r>
        <w:br w:type="page"/>
      </w:r>
    </w:p>
    <w:p>
      <w:pPr>
        <w:pStyle w:val="TextBody"/>
        <w:bidi w:val="0"/>
        <w:spacing w:lineRule="auto" w:line="240" w:before="0" w:after="0"/>
        <w:ind w:left="720" w:right="720" w:hanging="0"/>
        <w:jc w:val="right"/>
        <w:rPr/>
      </w:pPr>
      <w:r>
        <w:rPr/>
        <w:t xml:space="preserve">  </w:t>
      </w:r>
    </w:p>
    <w:p>
      <w:pPr>
        <w:pStyle w:val="TextBody"/>
        <w:bidi w:val="0"/>
        <w:spacing w:lineRule="auto" w:line="240" w:before="0" w:after="120"/>
        <w:ind w:left="720" w:right="720" w:hanging="0"/>
        <w:jc w:val="center"/>
        <w:rPr/>
      </w:pPr>
      <w:r>
        <w:rPr/>
        <w:drawing>
          <wp:inline distT="0" distB="0" distL="0" distR="0">
            <wp:extent cx="2609850" cy="6464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09850" cy="646430"/>
                    </a:xfrm>
                    <a:prstGeom prst="rect">
                      <a:avLst/>
                    </a:prstGeom>
                  </pic:spPr>
                </pic:pic>
              </a:graphicData>
            </a:graphic>
          </wp:inline>
        </w:drawing>
      </w:r>
      <w:r>
        <w:rPr/>
        <w:t xml:space="preserve"> </w:t>
      </w:r>
    </w:p>
    <w:p>
      <w:pPr>
        <w:pStyle w:val="TextBody"/>
        <w:bidi w:val="0"/>
        <w:spacing w:lineRule="auto" w:line="240" w:before="100" w:after="100"/>
        <w:ind w:left="1728" w:right="1728" w:hanging="0"/>
        <w:jc w:val="center"/>
        <w:rPr>
          <w:rFonts w:ascii="Calibri" w:hAnsi="Calibri"/>
          <w:sz w:val="24"/>
        </w:rPr>
      </w:pPr>
      <w:r>
        <w:rPr>
          <w:rFonts w:ascii="Times New Roman" w:hAnsi="Times New Roman"/>
          <w:b/>
          <w:sz w:val="24"/>
        </w:rPr>
        <w:t>AquaBounty Technologies Announces Expansion of Strategic Alternatives Review to Include Power Infrastructure Development Opportunities</w:t>
      </w:r>
      <w:r>
        <w:rPr>
          <w:rFonts w:ascii="Calibri" w:hAnsi="Calibri"/>
          <w:sz w:val="24"/>
        </w:rPr>
        <w:t xml:space="preserve"> </w:t>
      </w:r>
    </w:p>
    <w:p>
      <w:pPr>
        <w:pStyle w:val="TextBody"/>
        <w:pBdr/>
        <w:bidi w:val="0"/>
        <w:spacing w:lineRule="auto" w:line="240" w:before="100" w:after="100"/>
        <w:ind w:left="720" w:right="720" w:hanging="0"/>
        <w:jc w:val="left"/>
        <w:rPr>
          <w:rFonts w:ascii="Times New Roman" w:hAnsi="Times New Roman"/>
          <w:sz w:val="20"/>
        </w:rPr>
      </w:pPr>
      <w:r>
        <w:rPr>
          <w:rFonts w:ascii="Times New Roman" w:hAnsi="Times New Roman"/>
          <w:b/>
          <w:sz w:val="20"/>
        </w:rPr>
        <w:t>HARVARD, Mass., August 6, 2026</w:t>
      </w:r>
      <w:r>
        <w:rPr>
          <w:rFonts w:ascii="Times New Roman" w:hAnsi="Times New Roman"/>
          <w:sz w:val="20"/>
        </w:rPr>
        <w:t xml:space="preserve"> – AquaBounty Technologies, Inc. (NASDAQ: AQB) (“AquaBounty,” “we,” “our” or the “Company”) today announced that it is expanding its ongoing strategic review process for its Pioneer, Ohio property to include opportunities related to power infrastructure and energy development.  </w:t>
      </w:r>
    </w:p>
    <w:p>
      <w:pPr>
        <w:pStyle w:val="TextBody"/>
        <w:pBdr/>
        <w:bidi w:val="0"/>
        <w:spacing w:lineRule="auto" w:line="240" w:before="100" w:after="100"/>
        <w:ind w:left="720" w:right="720" w:hanging="0"/>
        <w:jc w:val="left"/>
        <w:rPr>
          <w:rFonts w:ascii="Times New Roman" w:hAnsi="Times New Roman"/>
          <w:sz w:val="20"/>
        </w:rPr>
      </w:pPr>
      <w:r>
        <w:rPr>
          <w:rFonts w:ascii="Times New Roman" w:hAnsi="Times New Roman"/>
          <w:b w:val="false"/>
          <w:sz w:val="20"/>
        </w:rPr>
        <w:t>The Company has previously been engaged in efforts to monetize the Pioneer property through discussions with parties in the aquaculture industry. While those discussions remain ongoing, evolving market conditions have led the Company to broaden its evaluation of strategic alternatives to maximize shareholder value.</w:t>
      </w:r>
      <w:r>
        <w:rPr>
          <w:rFonts w:ascii="Times New Roman" w:hAnsi="Times New Roman"/>
          <w:sz w:val="20"/>
        </w:rPr>
        <w:t xml:space="preserve"> </w:t>
      </w:r>
    </w:p>
    <w:p>
      <w:pPr>
        <w:pStyle w:val="TextBody"/>
        <w:pBdr/>
        <w:bidi w:val="0"/>
        <w:spacing w:lineRule="auto" w:line="240" w:before="100" w:after="100"/>
        <w:ind w:left="720" w:right="720" w:hanging="0"/>
        <w:jc w:val="left"/>
        <w:rPr>
          <w:rFonts w:ascii="Times New Roman" w:hAnsi="Times New Roman"/>
          <w:sz w:val="20"/>
        </w:rPr>
      </w:pPr>
      <w:r>
        <w:rPr>
          <w:rFonts w:ascii="Times New Roman" w:hAnsi="Times New Roman"/>
          <w:b w:val="false"/>
          <w:sz w:val="20"/>
        </w:rPr>
        <w:t>The Pioneer campus possesses a unique combination of infrastructure assets that management believes may be attractive to participants in the rapidly expanding power generation and digital infrastructure sectors. The property includes access to an existing electrical substation with approximately 50 megawatts of available capacity, competitively priced electricity, and a permit to withdraw 5.25 million gpd of groundwater from a high-capacity underground aquifer. These characteristics position the site as a potentially valuable location for power generation, energy-intensive industrial applications, data center infrastructure, and other strategic development opportunities.</w:t>
      </w:r>
      <w:r>
        <w:rPr>
          <w:rFonts w:ascii="Times New Roman" w:hAnsi="Times New Roman"/>
          <w:sz w:val="20"/>
        </w:rPr>
        <w:t xml:space="preserve"> </w:t>
      </w:r>
    </w:p>
    <w:p>
      <w:pPr>
        <w:pStyle w:val="TextBody"/>
        <w:pBdr/>
        <w:bidi w:val="0"/>
        <w:spacing w:lineRule="auto" w:line="240" w:before="100" w:after="100"/>
        <w:ind w:left="720" w:right="720" w:hanging="0"/>
        <w:jc w:val="left"/>
        <w:rPr>
          <w:rFonts w:ascii="Times New Roman" w:hAnsi="Times New Roman"/>
          <w:sz w:val="20"/>
        </w:rPr>
      </w:pPr>
      <w:r>
        <w:rPr>
          <w:rFonts w:ascii="Times New Roman" w:hAnsi="Times New Roman"/>
          <w:b w:val="false"/>
          <w:sz w:val="20"/>
        </w:rPr>
        <w:t>"The demand for reliable power infrastructure has accelerated dramatically in recent years, driven in large part by the rapid growth of artificial intelligence and high-performance computing," stated David Frank, Interim Chief Executive Officer of AquaBounty. "As we evaluate the highest and best use of the Pioneer assets, we believe it is prudent to expand our strategic review beyond traditional aquaculture opportunities to include parties seeking sites with robust utility infrastructure and abundant water resources."</w:t>
      </w:r>
      <w:r>
        <w:rPr>
          <w:rFonts w:ascii="Times New Roman" w:hAnsi="Times New Roman"/>
          <w:sz w:val="20"/>
        </w:rPr>
        <w:t xml:space="preserve"> </w:t>
      </w:r>
    </w:p>
    <w:p>
      <w:pPr>
        <w:pStyle w:val="TextBody"/>
        <w:pBdr/>
        <w:bidi w:val="0"/>
        <w:spacing w:lineRule="auto" w:line="240" w:before="100" w:after="100"/>
        <w:ind w:left="720" w:right="720" w:hanging="0"/>
        <w:jc w:val="left"/>
        <w:rPr>
          <w:rFonts w:ascii="Times New Roman" w:hAnsi="Times New Roman"/>
          <w:sz w:val="20"/>
        </w:rPr>
      </w:pPr>
      <w:r>
        <w:rPr>
          <w:rFonts w:ascii="Times New Roman" w:hAnsi="Times New Roman"/>
          <w:b w:val="false"/>
          <w:sz w:val="20"/>
        </w:rPr>
        <w:t>As part of this expanded review, the Company intends to engage with developers, utilities, independent power producers, infrastructure investors, and other strategic partners regarding a range of potential transactions. These may include an outright sale of the property, joint development arrangements, long-term leasing opportunities, or other structures that could realize the value of the site's infrastructure assets. The Company will also evaluate opportunities to participate more directly in infrastructure or energy development where doing so could enhance long-term shareholder value.</w:t>
      </w:r>
      <w:r>
        <w:rPr>
          <w:rFonts w:ascii="Times New Roman" w:hAnsi="Times New Roman"/>
          <w:sz w:val="20"/>
        </w:rPr>
        <w:t xml:space="preserve"> </w:t>
      </w:r>
    </w:p>
    <w:p>
      <w:pPr>
        <w:pStyle w:val="TextBody"/>
        <w:pBdr/>
        <w:bidi w:val="0"/>
        <w:spacing w:lineRule="auto" w:line="240" w:before="100" w:after="100"/>
        <w:ind w:left="720" w:right="720" w:hanging="0"/>
        <w:jc w:val="left"/>
        <w:rPr>
          <w:rFonts w:ascii="Times New Roman" w:hAnsi="Times New Roman"/>
          <w:sz w:val="20"/>
        </w:rPr>
      </w:pPr>
      <w:r>
        <w:rPr>
          <w:rFonts w:ascii="Times New Roman" w:hAnsi="Times New Roman"/>
          <w:b w:val="false"/>
          <w:sz w:val="20"/>
        </w:rPr>
        <w:t>Though AquaBounty is attempting to broaden its opportunities, there can be no assurance that the strategic review process will result in any transaction or that any transaction, if pursued, will be completed on specific terms or within any particular timeframe. The Company does not intend to provide updates regarding the process unless and until its Board of Directors determines that further disclosure is appropriate or required.</w:t>
      </w:r>
      <w:r>
        <w:rPr>
          <w:rFonts w:ascii="Times New Roman" w:hAnsi="Times New Roman"/>
          <w:sz w:val="20"/>
        </w:rPr>
        <w:t xml:space="preserve"> </w:t>
      </w:r>
    </w:p>
    <w:p>
      <w:pPr>
        <w:pStyle w:val="TextBody"/>
        <w:pBdr/>
        <w:bidi w:val="0"/>
        <w:spacing w:lineRule="auto" w:line="240" w:before="100" w:after="100"/>
        <w:ind w:left="720" w:right="720" w:hanging="0"/>
        <w:jc w:val="left"/>
        <w:rPr>
          <w:rFonts w:ascii="Times New Roman" w:hAnsi="Times New Roman"/>
          <w:b/>
          <w:sz w:val="24"/>
        </w:rPr>
      </w:pPr>
      <w:r>
        <w:rPr>
          <w:rFonts w:ascii="Times New Roman" w:hAnsi="Times New Roman"/>
          <w:b/>
          <w:sz w:val="24"/>
        </w:rPr>
        <w:t xml:space="preserve">About AquaBounty </w:t>
      </w:r>
    </w:p>
    <w:p>
      <w:pPr>
        <w:pStyle w:val="TextBody"/>
        <w:pBdr/>
        <w:bidi w:val="0"/>
        <w:spacing w:lineRule="auto" w:line="240" w:before="100" w:after="100"/>
        <w:ind w:left="720" w:right="720" w:hanging="0"/>
        <w:jc w:val="left"/>
        <w:rPr>
          <w:rFonts w:ascii="Times New Roman" w:hAnsi="Times New Roman"/>
          <w:sz w:val="20"/>
        </w:rPr>
      </w:pPr>
      <w:r>
        <w:rPr>
          <w:rFonts w:ascii="Times New Roman" w:hAnsi="Times New Roman"/>
          <w:sz w:val="20"/>
        </w:rPr>
        <w:t xml:space="preserve">AquaBounty Technologies, Inc. (NASDAQ: AQB) has historically focused on enhancing productivity and sustainability in aquaculture through innovative technologies. For additional information on AquaBounty, please visit </w:t>
      </w:r>
      <w:r>
        <w:rPr>
          <w:rFonts w:ascii="Times New Roman" w:hAnsi="Times New Roman"/>
          <w:color w:val="000000"/>
          <w:sz w:val="20"/>
        </w:rPr>
        <w:t>www.aquabounty.com</w:t>
      </w:r>
      <w:r>
        <w:rPr>
          <w:rFonts w:ascii="Times New Roman" w:hAnsi="Times New Roman"/>
          <w:sz w:val="20"/>
        </w:rPr>
        <w:t xml:space="preserve">. </w:t>
      </w:r>
    </w:p>
    <w:p>
      <w:pPr>
        <w:pStyle w:val="TextBody"/>
        <w:pBdr/>
        <w:bidi w:val="0"/>
        <w:spacing w:lineRule="auto" w:line="240" w:before="100" w:after="100"/>
        <w:ind w:left="720" w:right="720" w:hanging="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lineRule="auto" w:line="240" w:before="100" w:after="100"/>
        <w:ind w:left="720" w:right="720" w:hanging="0"/>
        <w:jc w:val="left"/>
        <w:rPr>
          <w:rFonts w:ascii="Calibri" w:hAnsi="Calibri"/>
          <w:sz w:val="20"/>
        </w:rPr>
      </w:pPr>
      <w:r>
        <w:rPr>
          <w:rFonts w:ascii="Times New Roman" w:hAnsi="Times New Roman"/>
          <w:sz w:val="20"/>
        </w:rPr>
        <w:t>This press release contains “forward-looking statements” within the meaning of the Private Securities Litigation Reform Act of 1995. Forward-looking statements include, but are not limited to, statements regarding the Company's strategic review process, the potential value of the Pioneer facility, possible transactions, future development opportunities, and the Company's ability to enhance shareholder value. These statements are based on current expectations and assumptions and are subject to risks and uncertainties that could cause actual results to differ materially from those expressed or implied. Factors that may cause actual results to differ include, among others, the Company's ability to identify and negotiate acceptable transactions, market conditions, regulatory approvals, financing availability, and other risks described in the Company's filings with the Securities and Exchange Commission. The Company undertakes no obligation to update any forward-looking statements except as required by law.</w:t>
      </w:r>
      <w:r>
        <w:rPr>
          <w:rFonts w:ascii="Calibri" w:hAnsi="Calibri"/>
          <w:sz w:val="20"/>
        </w:rPr>
        <w:t xml:space="preserve"> </w:t>
      </w:r>
    </w:p>
    <w:p>
      <w:pPr>
        <w:pStyle w:val="TextBody"/>
        <w:bidi w:val="0"/>
        <w:spacing w:lineRule="auto" w:line="240" w:before="0" w:after="0"/>
        <w:ind w:left="720" w:right="720" w:hanging="0"/>
        <w:jc w:val="left"/>
        <w:rPr>
          <w:rFonts w:cs="Calibri"/>
          <w:szCs w:val="20"/>
        </w:rPr>
      </w:pPr>
      <w:r>
        <w:rPr>
          <w:rFonts w:cs="Times New Roman"/>
          <w:bCs/>
          <w:szCs w:val="20"/>
        </w:rPr>
        <w:t>﻿</w:t>
      </w:r>
      <w:r>
        <w:rPr>
          <w:rFonts w:cs="Calibri"/>
          <w:szCs w:val="20"/>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ascii="Calibri" w:hAnsi="Calibri"/>
          <w:sz w:val="20"/>
        </w:rPr>
      </w:pPr>
      <w:r>
        <w:rPr>
          <w:rFonts w:ascii="Times New Roman" w:hAnsi="Times New Roman"/>
          <w:b/>
          <w:sz w:val="20"/>
        </w:rPr>
        <w:t>Company &amp; Investor Contact:</w:t>
      </w:r>
      <w:r>
        <w:rPr>
          <w:rFonts w:ascii="Calibri" w:hAnsi="Calibri"/>
          <w:sz w:val="20"/>
        </w:rPr>
        <w:br/>
      </w:r>
      <w:r>
        <w:rPr>
          <w:rFonts w:ascii="Times New Roman" w:hAnsi="Times New Roman"/>
          <w:sz w:val="20"/>
        </w:rPr>
        <w:t>AquaBounty Technologies</w:t>
      </w:r>
      <w:r>
        <w:rPr>
          <w:rFonts w:ascii="Calibri" w:hAnsi="Calibri"/>
          <w:sz w:val="20"/>
        </w:rPr>
        <w:t xml:space="preserve"> </w:t>
      </w:r>
    </w:p>
    <w:p>
      <w:pPr>
        <w:pStyle w:val="TextBody"/>
        <w:bidi w:val="0"/>
        <w:spacing w:lineRule="auto" w:line="240" w:before="0" w:after="0"/>
        <w:ind w:left="720" w:right="720" w:hanging="0"/>
        <w:jc w:val="left"/>
        <w:rPr/>
      </w:pPr>
      <w:r>
        <w:rPr>
          <w:rFonts w:cs="Times New Roman"/>
          <w:szCs w:val="20"/>
        </w:rPr>
        <w:t>﻿</w:t>
      </w:r>
      <w:r>
        <w:rPr>
          <w:rFonts w:ascii="Times New Roman" w:hAnsi="Times New Roman"/>
          <w:color w:val="000000"/>
          <w:sz w:val="20"/>
        </w:rPr>
        <w:t>investors@aquabounty.com</w:t>
      </w:r>
      <w:r>
        <w:rPr>
          <w:rFonts w:ascii="Calibri" w:hAnsi="Calibri"/>
          <w:sz w:val="20"/>
        </w:rPr>
        <w:t xml:space="preserve"> </w:t>
      </w:r>
    </w:p>
    <w:p>
      <w:pPr>
        <w:pStyle w:val="TextBody"/>
        <w:bidi w:val="0"/>
        <w:spacing w:lineRule="auto" w:line="240" w:before="0" w:after="0"/>
        <w:ind w:left="720" w:right="720" w:hanging="0"/>
        <w:jc w:val="left"/>
        <w:rPr>
          <w:rFonts w:cs="Calibri"/>
          <w:szCs w:val="20"/>
        </w:rPr>
      </w:pPr>
      <w:r>
        <w:rPr>
          <w:rFonts w:cs="Times New Roman"/>
          <w:szCs w:val="20"/>
        </w:rPr>
        <w:t>﻿</w:t>
      </w:r>
      <w:r>
        <w:rPr>
          <w:rFonts w:cs="Calibri"/>
          <w:szCs w:val="20"/>
        </w:rPr>
        <w:t xml:space="preserve"> </w:t>
      </w:r>
    </w:p>
    <w:p>
      <w:pPr>
        <w:pStyle w:val="TextBody"/>
        <w:bidi w:val="0"/>
        <w:spacing w:lineRule="auto" w:line="240" w:before="0" w:after="0"/>
        <w:ind w:left="720" w:right="720" w:hanging="0"/>
        <w:jc w:val="left"/>
        <w:rPr>
          <w:rFonts w:ascii="Calibri" w:hAnsi="Calibri"/>
          <w:sz w:val="20"/>
        </w:rPr>
      </w:pPr>
      <w:r>
        <w:rPr>
          <w:rFonts w:ascii="Times New Roman" w:hAnsi="Times New Roman"/>
          <w:b/>
          <w:sz w:val="20"/>
        </w:rPr>
        <w:t>Media Contact:</w:t>
      </w:r>
      <w:r>
        <w:rPr>
          <w:rFonts w:ascii="Calibri" w:hAnsi="Calibri"/>
          <w:sz w:val="20"/>
        </w:rPr>
        <w:br/>
      </w:r>
      <w:r>
        <w:rPr>
          <w:rFonts w:ascii="Times New Roman" w:hAnsi="Times New Roman"/>
          <w:sz w:val="20"/>
        </w:rPr>
        <w:t>Vince McMorrow</w:t>
      </w:r>
      <w:r>
        <w:rPr>
          <w:rFonts w:ascii="Calibri" w:hAnsi="Calibri"/>
          <w:sz w:val="20"/>
        </w:rPr>
        <w:br/>
      </w:r>
      <w:r>
        <w:rPr>
          <w:rFonts w:ascii="Times New Roman" w:hAnsi="Times New Roman"/>
          <w:sz w:val="20"/>
        </w:rPr>
        <w:t>Fahlgren Mortine</w:t>
      </w:r>
      <w:r>
        <w:rPr>
          <w:rFonts w:ascii="Calibri" w:hAnsi="Calibri"/>
          <w:sz w:val="20"/>
        </w:rPr>
        <w:br/>
      </w:r>
      <w:r>
        <w:rPr>
          <w:rFonts w:ascii="Times New Roman" w:hAnsi="Times New Roman"/>
          <w:sz w:val="20"/>
        </w:rPr>
        <w:t>(614) 906-1671</w:t>
      </w:r>
      <w:r>
        <w:rPr>
          <w:rFonts w:ascii="Calibri" w:hAnsi="Calibri"/>
          <w:sz w:val="20"/>
        </w:rPr>
        <w:br/>
      </w:r>
      <w:r>
        <w:rPr>
          <w:rFonts w:ascii="Times New Roman" w:hAnsi="Times New Roman"/>
          <w:color w:val="000000"/>
          <w:sz w:val="20"/>
        </w:rPr>
        <w:t>vince.mcmorrow@Fahlgren.com</w:t>
      </w:r>
      <w:r>
        <w:rPr>
          <w:rFonts w:ascii="Calibri" w:hAnsi="Calibri"/>
          <w:sz w:val="20"/>
        </w:rPr>
        <w:t xml:space="preserve"> </w:t>
      </w:r>
    </w:p>
    <w:p>
      <w:pPr>
        <w:pStyle w:val="TextBody"/>
        <w:bidi w:val="0"/>
        <w:spacing w:lineRule="auto" w:line="240" w:before="0" w:after="0"/>
        <w:ind w:left="720" w:right="720" w:hanging="0"/>
        <w:jc w:val="left"/>
        <w:rPr>
          <w:rFonts w:cs="Calibri"/>
          <w:szCs w:val="20"/>
        </w:rPr>
      </w:pPr>
      <w:r>
        <w:rPr>
          <w:rFonts w:cs="Times New Roman"/>
          <w:szCs w:val="20"/>
        </w:rPr>
        <w:t>﻿</w:t>
      </w:r>
      <w:r>
        <w:rPr>
          <w:rFonts w:cs="Calibri"/>
          <w:szCs w:val="20"/>
        </w:rPr>
        <w:t xml:space="preserve"> </w:t>
      </w:r>
    </w:p>
    <w:p>
      <w:pPr>
        <w:pStyle w:val="HorizontalLine"/>
        <w:pBdr>
          <w:bottom w:val="double" w:sz="6" w:space="0" w:color="808080"/>
        </w:pBdr>
        <w:bidi w:val="0"/>
        <w:spacing w:before="0" w:after="283"/>
        <w:ind w:left="720" w:right="72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charset w:val="02"/>
    <w:family w:val="auto"/>
    <w:pitch w:val="default"/>
  </w:font>
  <w:font w:name="Times New Roman">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1130</Words>
  <Characters>6790</Characters>
  <CharactersWithSpaces>7884</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