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aqb-20260630x10q.htm"/>
      <w:bookmarkStart w:id="1" w:name="ksaqb20260630x10q"/>
      <w:bookmarkStart w:id="2" w:name="aqb-20260630x10q.htm"/>
      <w:bookmarkStart w:id="3" w:name="ksaqb20260630x10q"/>
      <w:bookmarkEnd w:id="2"/>
      <w:bookmarkEnd w:id="3"/>
    </w:p>
    <w:tbl>
      <w:tblPr>
        <w:tblW w:w="301" w:type="dxa"/>
        <w:jc w:val="center"/>
        <w:tblInd w:w="0" w:type="dxa"/>
        <w:tblLayout w:type="fixed"/>
        <w:tblCellMar>
          <w:top w:w="0" w:type="dxa"/>
          <w:left w:w="0" w:type="dxa"/>
          <w:bottom w:w="0" w:type="dxa"/>
          <w:right w:w="0" w:type="dxa"/>
        </w:tblCellMar>
      </w:tblPr>
      <w:tblGrid>
        <w:gridCol w:w="301"/>
      </w:tblGrid>
      <w:tr>
        <w:trPr/>
        <w:tc>
          <w:tcPr>
            <w:tcW w:w="3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w:t>
            </w:r>
          </w:p>
        </w:tc>
      </w:tr>
      <w:tr>
        <w:trPr/>
        <w:tc>
          <w:tcPr>
            <w:tcW w:w="301"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UNITED STATES SECURITIES AND EXCHANGE COMMISSION</w:t>
      </w:r>
    </w:p>
    <w:p>
      <w:pPr>
        <w:pStyle w:val="TextBody"/>
        <w:bidi w:val="0"/>
        <w:spacing w:lineRule="auto" w:line="259" w:before="0" w:after="6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before="0" w:after="6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Form 10-Q</w:t>
      </w:r>
    </w:p>
    <w:p>
      <w:pPr>
        <w:pStyle w:val="TextBody"/>
        <w:bidi w:val="0"/>
        <w:spacing w:lineRule="auto" w:line="259"/>
        <w:rPr>
          <w:rFonts w:ascii="Times New Roman;serif" w:hAnsi="Times New Roman;serif"/>
          <w:sz w:val="20"/>
        </w:rPr>
      </w:pPr>
      <w:r>
        <w:rPr>
          <w:rFonts w:ascii="Wingdings" w:hAnsi="Wingdings"/>
          <w:b/>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i w:val="false"/>
          <w:caps w:val="false"/>
          <w:smallCaps w:val="false"/>
          <w:sz w:val="20"/>
        </w:rPr>
        <w:t>QUARTERLY REPORT PURSUANT TO SECTION 13 OR 15(d)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THE SECURITIES EXCHANGE ACT OF 1934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quarterly period ended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w:t>
      </w:r>
    </w:p>
    <w:p>
      <w:pPr>
        <w:pStyle w:val="TextBody"/>
        <w:bidi w:val="0"/>
        <w:spacing w:lineRule="auto" w:line="259"/>
        <w:rPr>
          <w:rFonts w:ascii="Times New Roman;serif" w:hAnsi="Times New Roman;serif"/>
          <w:sz w:val="20"/>
        </w:rPr>
      </w:pPr>
      <w:r>
        <w:rPr>
          <w:rFonts w:ascii="Wingdings" w:hAnsi="Wingdings"/>
          <w:b/>
          <w:i w:val="false"/>
          <w:caps w:val="false"/>
          <w:smallCaps w:val="false"/>
          <w:sz w:val="20"/>
        </w:rPr>
        <w:t>o</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TRANSITION REPORT PURSUANT TO SECTION 13 OR 15(d)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THE SECURITIES EXCHANGE ACT OF 1934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transition period from _____________________ to _____________________</w:t>
      </w:r>
    </w:p>
    <w:p>
      <w:pPr>
        <w:pStyle w:val="TextBody"/>
        <w:bidi w:val="0"/>
        <w:spacing w:lineRule="auto" w:line="259" w:before="120" w:after="6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001-36426</w:t>
      </w:r>
    </w:p>
    <w:p>
      <w:pPr>
        <w:pStyle w:val="TextBody"/>
        <w:bidi w:val="0"/>
        <w:spacing w:lineRule="auto" w:line="259" w:before="0" w:after="6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____________</w:t>
      </w:r>
    </w:p>
    <w:p>
      <w:pPr>
        <w:pStyle w:val="TextBody"/>
        <w:bidi w:val="0"/>
        <w:spacing w:lineRule="auto" w:line="259"/>
        <w:rPr>
          <w:rFonts w:ascii="Times New Roman;serif" w:hAnsi="Times New Roman;serif"/>
          <w:b/>
          <w:i w:val="false"/>
          <w:caps w:val="false"/>
          <w:smallCaps w:val="false"/>
          <w:sz w:val="46"/>
        </w:rPr>
      </w:pPr>
      <w:r>
        <w:rPr>
          <w:rFonts w:ascii="Times New Roman;serif" w:hAnsi="Times New Roman;serif"/>
          <w:b/>
          <w:i w:val="false"/>
          <w:caps w:val="false"/>
          <w:smallCaps w:val="false"/>
          <w:sz w:val="46"/>
        </w:rPr>
        <w:t>AquaBounty Technologies, Inc.</w:t>
      </w:r>
    </w:p>
    <w:p>
      <w:pPr>
        <w:pStyle w:val="TextBody"/>
        <w:bidi w:val="0"/>
        <w:spacing w:lineRule="auto" w:line="259"/>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(Exact name of registrant as specified in its charter)</w:t>
      </w:r>
    </w:p>
    <w:tbl>
      <w:tblPr>
        <w:tblW w:w="3692" w:type="dxa"/>
        <w:jc w:val="center"/>
        <w:tblInd w:w="0" w:type="dxa"/>
        <w:tblLayout w:type="fixed"/>
        <w:tblCellMar>
          <w:top w:w="0" w:type="dxa"/>
          <w:left w:w="0" w:type="dxa"/>
          <w:bottom w:w="0" w:type="dxa"/>
          <w:right w:w="0" w:type="dxa"/>
        </w:tblCellMar>
      </w:tblPr>
      <w:tblGrid>
        <w:gridCol w:w="2236"/>
        <w:gridCol w:w="1456"/>
      </w:tblGrid>
      <w:tr>
        <w:trPr/>
        <w:tc>
          <w:tcPr>
            <w:tcW w:w="223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Delaware</w:t>
            </w:r>
            <w:r>
              <w:rPr>
                <w:rFonts w:ascii="Times New Roman;serif" w:hAnsi="Times New Roman;serif"/>
                <w:caps w:val="false"/>
                <w:smallCaps w:val="false"/>
                <w:color w:val="000000"/>
                <w:sz w:val="20"/>
              </w:rPr>
              <w:t xml:space="preserve"> </w:t>
            </w:r>
          </w:p>
        </w:tc>
        <w:tc>
          <w:tcPr>
            <w:tcW w:w="145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04-3156167</w:t>
            </w:r>
            <w:r>
              <w:rPr>
                <w:rFonts w:ascii="Times New Roman;serif" w:hAnsi="Times New Roman;serif"/>
                <w:caps w:val="false"/>
                <w:smallCaps w:val="false"/>
                <w:color w:val="000000"/>
                <w:sz w:val="20"/>
              </w:rPr>
              <w:t xml:space="preserve"> </w:t>
            </w:r>
          </w:p>
        </w:tc>
      </w:tr>
      <w:tr>
        <w:trPr/>
        <w:tc>
          <w:tcPr>
            <w:tcW w:w="223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18"/>
              </w:rPr>
              <w:t>(State or other jurisdiction of</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18"/>
              </w:rPr>
              <w:t>incorporation or organization)</w:t>
            </w:r>
          </w:p>
        </w:tc>
        <w:tc>
          <w:tcPr>
            <w:tcW w:w="145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18"/>
              </w:rPr>
              <w:t>(I.R.S. Employer</w:t>
            </w:r>
            <w:r>
              <w:rPr>
                <w:rFonts w:ascii="Times New Roman;serif" w:hAnsi="Times New Roman;serif"/>
                <w:b w:val="false"/>
                <w:i w:val="false"/>
                <w:caps w:val="false"/>
                <w:smallCaps w:val="false"/>
                <w:sz w:val="20"/>
              </w:rPr>
              <w:br/>
              <w:t>‎</w:t>
            </w:r>
            <w:r>
              <w:rPr>
                <w:rFonts w:ascii="Times New Roman;serif" w:hAnsi="Times New Roman;serif"/>
                <w:b w:val="false"/>
                <w:i w:val="false"/>
                <w:caps w:val="false"/>
                <w:smallCaps w:val="false"/>
                <w:color w:val="000000"/>
                <w:sz w:val="18"/>
              </w:rPr>
              <w:t>Identification No.)</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233 Ayer Road, Suite 4</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Harvard, Massachusetts</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01451</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(978) 648-6000</w:t>
      </w:r>
    </w:p>
    <w:p>
      <w:pPr>
        <w:pStyle w:val="TextBody"/>
        <w:bidi w:val="0"/>
        <w:spacing w:lineRule="auto" w:line="259" w:before="60" w:after="60"/>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(Address and telephone number of the registrant’s principal executive offices)</w:t>
      </w:r>
    </w:p>
    <w:p>
      <w:pPr>
        <w:pStyle w:val="TextBody"/>
        <w:bidi w:val="0"/>
        <w:spacing w:lineRule="auto" w:line="259" w:before="60" w:after="60"/>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Securities registered pursuant to Section 12(b) of the Act:</w:t>
      </w:r>
    </w:p>
    <w:tbl>
      <w:tblPr>
        <w:tblW w:w="8538" w:type="dxa"/>
        <w:jc w:val="center"/>
        <w:tblInd w:w="0" w:type="dxa"/>
        <w:tblLayout w:type="fixed"/>
        <w:tblCellMar>
          <w:top w:w="0" w:type="dxa"/>
          <w:left w:w="0" w:type="dxa"/>
          <w:bottom w:w="0" w:type="dxa"/>
          <w:right w:w="0" w:type="dxa"/>
        </w:tblCellMar>
      </w:tblPr>
      <w:tblGrid>
        <w:gridCol w:w="3811"/>
        <w:gridCol w:w="1456"/>
        <w:gridCol w:w="3271"/>
      </w:tblGrid>
      <w:tr>
        <w:trPr/>
        <w:tc>
          <w:tcPr>
            <w:tcW w:w="381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Title of each class</w:t>
            </w:r>
          </w:p>
        </w:tc>
        <w:tc>
          <w:tcPr>
            <w:tcW w:w="145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Trading Symbol(s)</w:t>
            </w:r>
          </w:p>
        </w:tc>
        <w:tc>
          <w:tcPr>
            <w:tcW w:w="327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Name of each exchange on which registered</w:t>
            </w:r>
          </w:p>
        </w:tc>
      </w:tr>
      <w:tr>
        <w:trPr/>
        <w:tc>
          <w:tcPr>
            <w:tcW w:w="381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Common Stock, par value $0.001 per share</w:t>
            </w:r>
            <w:r>
              <w:rPr>
                <w:rFonts w:ascii="Times New Roman;serif" w:hAnsi="Times New Roman;serif"/>
                <w:caps w:val="false"/>
                <w:smallCaps w:val="false"/>
                <w:sz w:val="20"/>
              </w:rPr>
              <w:t xml:space="preserve"> </w:t>
            </w:r>
          </w:p>
        </w:tc>
        <w:tc>
          <w:tcPr>
            <w:tcW w:w="1456"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AQB</w:t>
            </w:r>
            <w:r>
              <w:rPr>
                <w:rFonts w:ascii="Times New Roman;serif" w:hAnsi="Times New Roman;serif"/>
                <w:caps w:val="false"/>
                <w:smallCaps w:val="false"/>
                <w:color w:val="000000"/>
                <w:sz w:val="20"/>
              </w:rPr>
              <w:t xml:space="preserve"> </w:t>
            </w:r>
          </w:p>
        </w:tc>
        <w:tc>
          <w:tcPr>
            <w:tcW w:w="327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color w:val="000000"/>
                <w:sz w:val="20"/>
              </w:rPr>
              <w:t>The NASDAQ</w:t>
            </w:r>
            <w:r>
              <w:rPr>
                <w:rFonts w:ascii="Times New Roman;serif" w:hAnsi="Times New Roman;serif"/>
                <w:caps w:val="false"/>
                <w:smallCaps w:val="false"/>
                <w:color w:val="000000"/>
                <w:sz w:val="20"/>
              </w:rPr>
              <w:t xml:space="preserve"> </w:t>
            </w:r>
            <w:r>
              <w:rPr>
                <w:rFonts w:ascii="Times New Roman;serif" w:hAnsi="Times New Roman;serif"/>
                <w:b/>
                <w:i w:val="false"/>
                <w:caps w:val="false"/>
                <w:smallCaps w:val="false"/>
                <w:color w:val="000000"/>
                <w:sz w:val="20"/>
              </w:rPr>
              <w:t xml:space="preserve">Stock Market LLC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has submitted electronically every Interactive Data File required to be submitted pursuant to Rule 405 (§232.405 of this chapter) of Regulation S-T during the preceding 12 months (or for such shorter period that the registrant was required to submit such files).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Wingdings" w:hAnsi="Wingdings"/>
          <w:b w:val="false"/>
          <w:i w:val="false"/>
          <w:caps w:val="false"/>
          <w:smallCaps w:val="false"/>
          <w:sz w:val="20"/>
        </w:rPr>
        <w:t>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813" w:type="dxa"/>
        <w:jc w:val="left"/>
        <w:tblInd w:w="0" w:type="dxa"/>
        <w:tblLayout w:type="fixed"/>
        <w:tblCellMar>
          <w:top w:w="0" w:type="dxa"/>
          <w:left w:w="0" w:type="dxa"/>
          <w:bottom w:w="0" w:type="dxa"/>
          <w:right w:w="0" w:type="dxa"/>
        </w:tblCellMar>
      </w:tblPr>
      <w:tblGrid>
        <w:gridCol w:w="1921"/>
        <w:gridCol w:w="286"/>
        <w:gridCol w:w="1441"/>
        <w:gridCol w:w="286"/>
        <w:gridCol w:w="1846"/>
        <w:gridCol w:w="316"/>
        <w:gridCol w:w="2311"/>
        <w:gridCol w:w="406"/>
      </w:tblGrid>
      <w:tr>
        <w:trPr/>
        <w:tc>
          <w:tcPr>
            <w:tcW w:w="19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Large accelerated filer</w:t>
            </w:r>
          </w:p>
        </w:tc>
        <w:tc>
          <w:tcPr>
            <w:tcW w:w="286"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14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Accelerated filer</w:t>
            </w:r>
          </w:p>
        </w:tc>
        <w:tc>
          <w:tcPr>
            <w:tcW w:w="286"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o</w:t>
            </w:r>
          </w:p>
        </w:tc>
        <w:tc>
          <w:tcPr>
            <w:tcW w:w="184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Non-accelerated filer</w:t>
            </w:r>
            <w:r>
              <w:rPr>
                <w:rFonts w:ascii="Times New Roman;serif" w:hAnsi="Times New Roman;serif"/>
                <w:caps w:val="false"/>
                <w:smallCaps w:val="false"/>
                <w:color w:val="000000"/>
                <w:sz w:val="20"/>
              </w:rPr>
              <w:t xml:space="preserve"> </w:t>
            </w:r>
          </w:p>
        </w:tc>
        <w:tc>
          <w:tcPr>
            <w:tcW w:w="316" w:type="dxa"/>
            <w:tcBorders/>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Smaller reporting company</w:t>
            </w:r>
          </w:p>
        </w:tc>
        <w:tc>
          <w:tcPr>
            <w:tcW w:w="406" w:type="dxa"/>
            <w:tcBorders/>
            <w:vAlign w:val="center"/>
          </w:tcPr>
          <w:p>
            <w:pPr>
              <w:pStyle w:val="TableContents"/>
              <w:bidi w:val="0"/>
              <w:spacing w:lineRule="auto" w:line="259" w:before="0" w:after="283"/>
              <w:jc w:val="left"/>
              <w:rPr>
                <w:rFonts w:ascii="Times New Roman;serif" w:hAnsi="Times New Roman;serif"/>
                <w:sz w:val="20"/>
              </w:rPr>
            </w:pPr>
            <w:r>
              <w:rPr>
                <w:rFonts w:ascii="Wingdings" w:hAnsi="Wingdings"/>
                <w:b w:val="false"/>
                <w:i w:val="false"/>
                <w:caps w:val="false"/>
                <w:smallCaps w:val="false"/>
                <w:sz w:val="20"/>
              </w:rPr>
              <w:t>x</w:t>
            </w:r>
            <w:r>
              <w:rPr>
                <w:rFonts w:ascii="Times New Roman;serif" w:hAnsi="Times New Roman;serif"/>
                <w:caps w:val="false"/>
                <w:smallCaps w:val="false"/>
                <w:sz w:val="20"/>
              </w:rPr>
              <w:t xml:space="preserve"> </w:t>
            </w:r>
          </w:p>
        </w:tc>
      </w:tr>
      <w:tr>
        <w:trPr/>
        <w:tc>
          <w:tcPr>
            <w:tcW w:w="19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Emerging growth company</w:t>
            </w:r>
          </w:p>
        </w:tc>
        <w:tc>
          <w:tcPr>
            <w:tcW w:w="406" w:type="dxa"/>
            <w:tcBorders/>
            <w:vAlign w:val="center"/>
          </w:tcPr>
          <w:p>
            <w:pPr>
              <w:pStyle w:val="TableContents"/>
              <w:bidi w:val="0"/>
              <w:spacing w:lineRule="auto" w:line="259" w:before="0" w:after="283"/>
              <w:jc w:val="left"/>
              <w:rPr>
                <w:rFonts w:ascii="Times New Roman;serif" w:hAnsi="Times New Roman;serif"/>
                <w:sz w:val="20"/>
              </w:rPr>
            </w:pPr>
            <w:r>
              <w:rPr>
                <w:rFonts w:ascii="Wingdings" w:hAnsi="Wingdings"/>
                <w:b w:val="false"/>
                <w:i w:val="false"/>
                <w:caps w:val="false"/>
                <w:smallCaps w:val="false"/>
                <w:sz w:val="20"/>
              </w:rPr>
              <w:t>o</w:t>
            </w:r>
            <w:r>
              <w:rPr>
                <w:rFonts w:ascii="Times New Roman;serif" w:hAnsi="Times New Roman;serif"/>
                <w:caps w:val="false"/>
                <w:smallCaps w:val="false"/>
                <w:sz w:val="20"/>
              </w:rPr>
              <w:t xml:space="preserve">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is a shell company (as defined in Rule 12b-2 of the Exchange Act).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 </w:t>
      </w:r>
      <w:r>
        <w:rPr>
          <w:rFonts w:ascii="Wingdings" w:hAnsi="Wingdings"/>
          <w:b w:val="false"/>
          <w:i w:val="false"/>
          <w:caps w:val="false"/>
          <w:smallCaps w:val="false"/>
          <w:sz w:val="20"/>
        </w:rPr>
        <w:t>x</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August 4, 2026, the registrant had 5,147,204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par value $0.001 per share (“Common Shares”) outstanding.</w:t>
      </w:r>
    </w:p>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HorizontalLine"/>
        <w:pBdr>
          <w:bottom w:val="double" w:sz="2" w:space="0" w:color="808080"/>
        </w:pBdr>
        <w:bidi w:val="0"/>
        <w:spacing w:before="0" w:after="283"/>
        <w:jc w:val="left"/>
        <w:rPr/>
      </w:pPr>
      <w:r>
        <w:rPr/>
      </w:r>
      <w:bookmarkStart w:id="4" w:name="TableofContents"/>
      <w:bookmarkStart w:id="5" w:name="TableofContents"/>
      <w:bookmarkEnd w:id="5"/>
    </w:p>
    <w:p>
      <w:pPr>
        <w:pStyle w:val="Normal"/>
        <w:bidi w:val="0"/>
        <w:spacing w:before="0" w:after="0"/>
        <w:jc w:val="left"/>
        <w:rPr>
          <w:sz w:val="4"/>
          <w:szCs w:val="4"/>
        </w:rPr>
      </w:pPr>
      <w:r>
        <w:rPr>
          <w:sz w:val="4"/>
          <w:szCs w:val="4"/>
        </w:rPr>
      </w:r>
      <w:bookmarkStart w:id="6" w:name="Section2"/>
      <w:bookmarkStart w:id="7" w:name="Section2"/>
      <w:bookmarkEnd w:id="7"/>
    </w:p>
    <w:tbl>
      <w:tblPr>
        <w:tblW w:w="8718" w:type="dxa"/>
        <w:jc w:val="left"/>
        <w:tblInd w:w="0" w:type="dxa"/>
        <w:tblLayout w:type="fixed"/>
        <w:tblCellMar>
          <w:top w:w="0" w:type="dxa"/>
          <w:left w:w="0" w:type="dxa"/>
          <w:bottom w:w="0" w:type="dxa"/>
          <w:right w:w="0" w:type="dxa"/>
        </w:tblCellMar>
      </w:tblPr>
      <w:tblGrid>
        <w:gridCol w:w="811"/>
        <w:gridCol w:w="7366"/>
        <w:gridCol w:w="541"/>
      </w:tblGrid>
      <w:tr>
        <w:trPr/>
        <w:tc>
          <w:tcPr>
            <w:tcW w:w="8718"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8"/>
              </w:rPr>
            </w:pPr>
            <w:r>
              <w:rPr>
                <w:rFonts w:ascii="Times New Roman;serif" w:hAnsi="Times New Roman;serif"/>
                <w:b/>
                <w:i w:val="false"/>
                <w:caps w:val="false"/>
                <w:smallCaps w:val="false"/>
                <w:color w:val="000000"/>
                <w:sz w:val="28"/>
              </w:rPr>
              <w:t>AquaBounty Technologies, Inc.</w:t>
            </w:r>
          </w:p>
        </w:tc>
      </w:tr>
      <w:tr>
        <w:trPr/>
        <w:tc>
          <w:tcPr>
            <w:tcW w:w="8718"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FORM 10-Q</w:t>
            </w:r>
          </w:p>
        </w:tc>
      </w:tr>
      <w:tr>
        <w:trPr/>
        <w:tc>
          <w:tcPr>
            <w:tcW w:w="8718"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For the Quarterly Period Ended June 30, 2026</w:t>
            </w:r>
          </w:p>
        </w:tc>
      </w:tr>
      <w:tr>
        <w:trPr/>
        <w:tc>
          <w:tcPr>
            <w:tcW w:w="8718" w:type="dxa"/>
            <w:gridSpan w:val="3"/>
            <w:tcBorders/>
            <w:vAlign w:val="center"/>
          </w:tcPr>
          <w:p>
            <w:pPr>
              <w:pStyle w:val="TableContents"/>
              <w:bidi w:val="0"/>
              <w:spacing w:before="0" w:after="283"/>
              <w:jc w:val="left"/>
              <w:rPr>
                <w:sz w:val="4"/>
                <w:szCs w:val="4"/>
              </w:rPr>
            </w:pPr>
            <w:r>
              <w:rPr>
                <w:sz w:val="4"/>
                <w:szCs w:val="4"/>
              </w:rPr>
            </w:r>
          </w:p>
        </w:tc>
      </w:tr>
      <w:tr>
        <w:trPr/>
        <w:tc>
          <w:tcPr>
            <w:tcW w:w="8718" w:type="dxa"/>
            <w:gridSpan w:val="3"/>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TABLE OF CONTENTS</w:t>
            </w:r>
          </w:p>
        </w:tc>
      </w:tr>
      <w:tr>
        <w:trPr/>
        <w:tc>
          <w:tcPr>
            <w:tcW w:w="8718" w:type="dxa"/>
            <w:gridSpan w:val="3"/>
            <w:tcBorders/>
            <w:vAlign w:val="center"/>
          </w:tcPr>
          <w:p>
            <w:pPr>
              <w:pStyle w:val="TableContents"/>
              <w:bidi w:val="0"/>
              <w:spacing w:before="0" w:after="283"/>
              <w:jc w:val="left"/>
              <w:rPr>
                <w:sz w:val="4"/>
                <w:szCs w:val="4"/>
              </w:rPr>
            </w:pPr>
            <w:r>
              <w:rPr>
                <w:sz w:val="4"/>
                <w:szCs w:val="4"/>
              </w:rPr>
            </w:r>
          </w:p>
        </w:tc>
      </w:tr>
      <w:tr>
        <w:trPr/>
        <w:tc>
          <w:tcPr>
            <w:tcW w:w="8718" w:type="dxa"/>
            <w:gridSpan w:val="3"/>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Section4">
              <w:r>
                <w:rPr>
                  <w:rStyle w:val="InternetLink"/>
                  <w:rFonts w:ascii="Times New Roman;serif" w:hAnsi="Times New Roman;serif"/>
                  <w:b/>
                  <w:i w:val="false"/>
                  <w:caps w:val="false"/>
                  <w:smallCaps w:val="false"/>
                  <w:color w:val="0000FF"/>
                  <w:sz w:val="20"/>
                  <w:u w:val="single"/>
                </w:rPr>
                <w:t>PART I</w:t>
              </w:r>
            </w:hyperlink>
          </w:p>
        </w:tc>
        <w:tc>
          <w:tcPr>
            <w:tcW w:w="7366" w:type="dxa"/>
            <w:tcBorders/>
            <w:shd w:fill="CCEEFF" w:val="clear"/>
            <w:vAlign w:val="center"/>
          </w:tcPr>
          <w:p>
            <w:pPr>
              <w:pStyle w:val="TableContents"/>
              <w:bidi w:val="0"/>
              <w:spacing w:lineRule="auto" w:line="259" w:before="0" w:after="283"/>
              <w:jc w:val="left"/>
              <w:rPr/>
            </w:pPr>
            <w:hyperlink w:anchor="Section4">
              <w:r>
                <w:rPr>
                  <w:rStyle w:val="InternetLink"/>
                  <w:rFonts w:ascii="Times New Roman;serif" w:hAnsi="Times New Roman;serif"/>
                  <w:b/>
                  <w:i w:val="false"/>
                  <w:caps w:val="false"/>
                  <w:smallCaps w:val="false"/>
                  <w:strike w:val="false"/>
                  <w:dstrike w:val="false"/>
                  <w:color w:val="0000FF"/>
                  <w:sz w:val="20"/>
                  <w:u w:val="single"/>
                  <w:effect w:val="none"/>
                </w:rPr>
                <w:t>FINANCIAL INFORMATION</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Page</w:t>
            </w:r>
          </w:p>
        </w:tc>
      </w:tr>
      <w:tr>
        <w:trPr/>
        <w:tc>
          <w:tcPr>
            <w:tcW w:w="811" w:type="dxa"/>
            <w:tcBorders/>
            <w:vAlign w:val="center"/>
          </w:tcPr>
          <w:p>
            <w:pPr>
              <w:pStyle w:val="TableContents"/>
              <w:bidi w:val="0"/>
              <w:spacing w:lineRule="auto" w:line="259" w:before="0" w:after="283"/>
              <w:jc w:val="left"/>
              <w:rPr/>
            </w:pPr>
            <w:hyperlink w:anchor="Section5">
              <w:r>
                <w:rPr>
                  <w:rStyle w:val="InternetLink"/>
                  <w:rFonts w:ascii="Times New Roman;serif" w:hAnsi="Times New Roman;serif"/>
                  <w:b w:val="false"/>
                  <w:i w:val="false"/>
                  <w:caps w:val="false"/>
                  <w:smallCaps w:val="false"/>
                  <w:color w:val="0000FF"/>
                  <w:sz w:val="20"/>
                  <w:u w:val="single"/>
                </w:rPr>
                <w:t>Item 1.</w:t>
              </w:r>
            </w:hyperlink>
          </w:p>
        </w:tc>
        <w:tc>
          <w:tcPr>
            <w:tcW w:w="7366" w:type="dxa"/>
            <w:tcBorders/>
            <w:vAlign w:val="center"/>
          </w:tcPr>
          <w:p>
            <w:pPr>
              <w:pStyle w:val="TableContents"/>
              <w:bidi w:val="0"/>
              <w:spacing w:lineRule="auto" w:line="259" w:before="0" w:after="283"/>
              <w:jc w:val="left"/>
              <w:rPr/>
            </w:pPr>
            <w:hyperlink w:anchor="Section5">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811" w:type="dxa"/>
            <w:tcBorders/>
            <w:shd w:fill="CCEEFF" w:val="clear"/>
            <w:vAlign w:val="center"/>
          </w:tcPr>
          <w:p>
            <w:pPr>
              <w:pStyle w:val="TableContents"/>
              <w:bidi w:val="0"/>
              <w:spacing w:lineRule="auto" w:line="259" w:before="0" w:after="283"/>
              <w:jc w:val="left"/>
              <w:rPr/>
            </w:pPr>
            <w:hyperlink w:anchor="Section22">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Section22">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r>
      <w:tr>
        <w:trPr/>
        <w:tc>
          <w:tcPr>
            <w:tcW w:w="811" w:type="dxa"/>
            <w:tcBorders/>
            <w:vAlign w:val="center"/>
          </w:tcPr>
          <w:p>
            <w:pPr>
              <w:pStyle w:val="TableContents"/>
              <w:bidi w:val="0"/>
              <w:spacing w:lineRule="auto" w:line="259" w:before="0" w:after="283"/>
              <w:jc w:val="left"/>
              <w:rPr/>
            </w:pPr>
            <w:hyperlink w:anchor="Section23">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Section23">
              <w:r>
                <w:rPr>
                  <w:rStyle w:val="InternetLink"/>
                  <w:rFonts w:ascii="Times New Roman;serif" w:hAnsi="Times New Roman;serif"/>
                  <w:b w:val="false"/>
                  <w:i w:val="false"/>
                  <w:caps w:val="false"/>
                  <w:smallCaps w:val="false"/>
                  <w:strike w:val="false"/>
                  <w:dstrike w:val="false"/>
                  <w:color w:val="0000FF"/>
                  <w:sz w:val="20"/>
                  <w:u w:val="single"/>
                  <w:effect w:val="none"/>
                </w:rPr>
                <w:t>Quantitative and Qualitative Disclosures About Market Risk</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r>
      <w:tr>
        <w:trPr/>
        <w:tc>
          <w:tcPr>
            <w:tcW w:w="811" w:type="dxa"/>
            <w:tcBorders/>
            <w:shd w:fill="CCEEFF" w:val="clear"/>
            <w:vAlign w:val="center"/>
          </w:tcPr>
          <w:p>
            <w:pPr>
              <w:pStyle w:val="TableContents"/>
              <w:bidi w:val="0"/>
              <w:spacing w:lineRule="auto" w:line="259" w:before="0" w:after="283"/>
              <w:jc w:val="left"/>
              <w:rPr/>
            </w:pPr>
            <w:hyperlink w:anchor="Section24">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Section24">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r>
        <w:trPr/>
        <w:tc>
          <w:tcPr>
            <w:tcW w:w="811" w:type="dxa"/>
            <w:tcBorders/>
            <w:vAlign w:val="center"/>
          </w:tcPr>
          <w:p>
            <w:pPr>
              <w:pStyle w:val="TableContents"/>
              <w:bidi w:val="0"/>
              <w:spacing w:lineRule="auto" w:line="259" w:before="0" w:after="283"/>
              <w:jc w:val="left"/>
              <w:rPr/>
            </w:pPr>
            <w:hyperlink w:anchor="Section25">
              <w:r>
                <w:rPr>
                  <w:rStyle w:val="InternetLink"/>
                  <w:rFonts w:ascii="Times New Roman;serif" w:hAnsi="Times New Roman;serif"/>
                  <w:b w:val="false"/>
                  <w:i w:val="false"/>
                  <w:caps w:val="false"/>
                  <w:smallCaps w:val="false"/>
                  <w:strike w:val="false"/>
                  <w:dstrike w:val="false"/>
                  <w:color w:val="0000FF"/>
                  <w:sz w:val="20"/>
                  <w:u w:val="single"/>
                  <w:effect w:val="none"/>
                </w:rPr>
                <w:t>PART II</w:t>
              </w:r>
            </w:hyperlink>
          </w:p>
        </w:tc>
        <w:tc>
          <w:tcPr>
            <w:tcW w:w="7366" w:type="dxa"/>
            <w:tcBorders/>
            <w:vAlign w:val="center"/>
          </w:tcPr>
          <w:p>
            <w:pPr>
              <w:pStyle w:val="TableContents"/>
              <w:bidi w:val="0"/>
              <w:spacing w:lineRule="auto" w:line="259" w:before="0" w:after="283"/>
              <w:jc w:val="left"/>
              <w:rPr/>
            </w:pPr>
            <w:hyperlink w:anchor="Section25">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4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Section26">
              <w:r>
                <w:rPr>
                  <w:rStyle w:val="InternetLink"/>
                  <w:rFonts w:ascii="Times New Roman;serif" w:hAnsi="Times New Roman;serif"/>
                  <w:b w:val="false"/>
                  <w:i w:val="false"/>
                  <w:caps w:val="false"/>
                  <w:smallCaps w:val="false"/>
                  <w:strike w:val="false"/>
                  <w:dstrike w:val="false"/>
                  <w:color w:val="0000FF"/>
                  <w:sz w:val="20"/>
                  <w:u w:val="single"/>
                  <w:effect w:val="none"/>
                </w:rPr>
                <w:t>Item 1.</w:t>
              </w:r>
            </w:hyperlink>
          </w:p>
        </w:tc>
        <w:tc>
          <w:tcPr>
            <w:tcW w:w="7366" w:type="dxa"/>
            <w:tcBorders/>
            <w:shd w:fill="CCEEFF" w:val="clear"/>
            <w:vAlign w:val="center"/>
          </w:tcPr>
          <w:p>
            <w:pPr>
              <w:pStyle w:val="TableContents"/>
              <w:bidi w:val="0"/>
              <w:spacing w:lineRule="auto" w:line="259" w:before="0" w:after="283"/>
              <w:jc w:val="left"/>
              <w:rPr/>
            </w:pPr>
            <w:hyperlink w:anchor="Section26">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r>
        <w:trPr/>
        <w:tc>
          <w:tcPr>
            <w:tcW w:w="811" w:type="dxa"/>
            <w:tcBorders/>
            <w:vAlign w:val="center"/>
          </w:tcPr>
          <w:p>
            <w:pPr>
              <w:pStyle w:val="TableContents"/>
              <w:bidi w:val="0"/>
              <w:spacing w:lineRule="auto" w:line="259" w:before="0" w:after="283"/>
              <w:jc w:val="left"/>
              <w:rPr/>
            </w:pPr>
            <w:hyperlink w:anchor="Section27">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p>
        </w:tc>
        <w:tc>
          <w:tcPr>
            <w:tcW w:w="7366" w:type="dxa"/>
            <w:tcBorders/>
            <w:vAlign w:val="center"/>
          </w:tcPr>
          <w:p>
            <w:pPr>
              <w:pStyle w:val="TableContents"/>
              <w:bidi w:val="0"/>
              <w:spacing w:lineRule="auto" w:line="259" w:before="0" w:after="283"/>
              <w:jc w:val="left"/>
              <w:rPr/>
            </w:pPr>
            <w:hyperlink w:anchor="Section27">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r>
      <w:tr>
        <w:trPr/>
        <w:tc>
          <w:tcPr>
            <w:tcW w:w="811" w:type="dxa"/>
            <w:tcBorders/>
            <w:shd w:fill="CCEEFF" w:val="clear"/>
            <w:vAlign w:val="center"/>
          </w:tcPr>
          <w:p>
            <w:pPr>
              <w:pStyle w:val="TableContents"/>
              <w:bidi w:val="0"/>
              <w:spacing w:lineRule="auto" w:line="259" w:before="0" w:after="283"/>
              <w:jc w:val="left"/>
              <w:rPr/>
            </w:pPr>
            <w:hyperlink w:anchor="Section28">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Section28">
              <w:r>
                <w:rPr>
                  <w:rStyle w:val="InternetLink"/>
                  <w:rFonts w:ascii="Times New Roman;serif" w:hAnsi="Times New Roman;serif"/>
                  <w:b w:val="false"/>
                  <w:i w:val="false"/>
                  <w:caps w:val="false"/>
                  <w:smallCaps w:val="false"/>
                  <w:strike w:val="false"/>
                  <w:dstrike w:val="false"/>
                  <w:color w:val="0000FF"/>
                  <w:sz w:val="20"/>
                  <w:u w:val="single"/>
                  <w:effect w:val="none"/>
                </w:rPr>
                <w:t>Unregistered Sales of Equity Securities and Use of Proceeds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r>
        <w:trPr/>
        <w:tc>
          <w:tcPr>
            <w:tcW w:w="811" w:type="dxa"/>
            <w:tcBorders/>
            <w:vAlign w:val="center"/>
          </w:tcPr>
          <w:p>
            <w:pPr>
              <w:pStyle w:val="TableContents"/>
              <w:bidi w:val="0"/>
              <w:spacing w:lineRule="auto" w:line="259" w:before="0" w:after="283"/>
              <w:jc w:val="left"/>
              <w:rPr/>
            </w:pPr>
            <w:hyperlink w:anchor="Section29">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7366" w:type="dxa"/>
            <w:tcBorders/>
            <w:vAlign w:val="center"/>
          </w:tcPr>
          <w:p>
            <w:pPr>
              <w:pStyle w:val="TableContents"/>
              <w:bidi w:val="0"/>
              <w:spacing w:lineRule="auto" w:line="259" w:before="0" w:after="283"/>
              <w:jc w:val="left"/>
              <w:rPr/>
            </w:pPr>
            <w:hyperlink w:anchor="Section29">
              <w:r>
                <w:rPr>
                  <w:rStyle w:val="InternetLink"/>
                  <w:rFonts w:ascii="Times New Roman;serif" w:hAnsi="Times New Roman;serif"/>
                  <w:b w:val="false"/>
                  <w:i w:val="false"/>
                  <w:caps w:val="false"/>
                  <w:smallCaps w:val="false"/>
                  <w:strike w:val="false"/>
                  <w:dstrike w:val="false"/>
                  <w:color w:val="0000FF"/>
                  <w:sz w:val="20"/>
                  <w:u w:val="single"/>
                  <w:effect w:val="none"/>
                </w:rPr>
                <w:t>Defaults Upon Senior Securities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r>
        <w:trPr/>
        <w:tc>
          <w:tcPr>
            <w:tcW w:w="811" w:type="dxa"/>
            <w:tcBorders/>
            <w:shd w:fill="CCEEFF" w:val="clear"/>
            <w:vAlign w:val="center"/>
          </w:tcPr>
          <w:p>
            <w:pPr>
              <w:pStyle w:val="TableContents"/>
              <w:bidi w:val="0"/>
              <w:spacing w:lineRule="auto" w:line="259" w:before="0" w:after="283"/>
              <w:jc w:val="left"/>
              <w:rPr/>
            </w:pPr>
            <w:hyperlink w:anchor="Section30">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Section30">
              <w:r>
                <w:rPr>
                  <w:rStyle w:val="InternetLink"/>
                  <w:rFonts w:ascii="Times New Roman;serif" w:hAnsi="Times New Roman;serif"/>
                  <w:b w:val="false"/>
                  <w:i w:val="false"/>
                  <w:caps w:val="false"/>
                  <w:smallCaps w:val="false"/>
                  <w:strike w:val="false"/>
                  <w:dstrike w:val="false"/>
                  <w:color w:val="0000FF"/>
                  <w:sz w:val="20"/>
                  <w:u w:val="single"/>
                  <w:effect w:val="none"/>
                </w:rPr>
                <w:t>Mine Safety Disclosures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r>
        <w:trPr/>
        <w:tc>
          <w:tcPr>
            <w:tcW w:w="811" w:type="dxa"/>
            <w:tcBorders/>
            <w:vAlign w:val="center"/>
          </w:tcPr>
          <w:p>
            <w:pPr>
              <w:pStyle w:val="TableContents"/>
              <w:bidi w:val="0"/>
              <w:spacing w:lineRule="auto" w:line="259" w:before="0" w:after="283"/>
              <w:jc w:val="left"/>
              <w:rPr/>
            </w:pPr>
            <w:hyperlink w:anchor="Section31">
              <w:r>
                <w:rPr>
                  <w:rStyle w:val="InternetLink"/>
                  <w:rFonts w:ascii="Times New Roman;serif" w:hAnsi="Times New Roman;serif"/>
                  <w:b w:val="false"/>
                  <w:i w:val="false"/>
                  <w:caps w:val="false"/>
                  <w:smallCaps w:val="false"/>
                  <w:strike w:val="false"/>
                  <w:dstrike w:val="false"/>
                  <w:color w:val="0000FF"/>
                  <w:sz w:val="20"/>
                  <w:u w:val="single"/>
                  <w:effect w:val="none"/>
                </w:rPr>
                <w:t>Item 5.</w:t>
              </w:r>
            </w:hyperlink>
          </w:p>
        </w:tc>
        <w:tc>
          <w:tcPr>
            <w:tcW w:w="7366" w:type="dxa"/>
            <w:tcBorders/>
            <w:vAlign w:val="center"/>
          </w:tcPr>
          <w:p>
            <w:pPr>
              <w:pStyle w:val="TableContents"/>
              <w:bidi w:val="0"/>
              <w:spacing w:lineRule="auto" w:line="259" w:before="0" w:after="283"/>
              <w:jc w:val="left"/>
              <w:rPr/>
            </w:pPr>
            <w:hyperlink w:anchor="Section31">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r>
        <w:trPr/>
        <w:tc>
          <w:tcPr>
            <w:tcW w:w="811" w:type="dxa"/>
            <w:tcBorders/>
            <w:shd w:fill="CCEEFF" w:val="clear"/>
            <w:vAlign w:val="center"/>
          </w:tcPr>
          <w:p>
            <w:pPr>
              <w:pStyle w:val="TableContents"/>
              <w:bidi w:val="0"/>
              <w:spacing w:lineRule="auto" w:line="259" w:before="0" w:after="283"/>
              <w:jc w:val="left"/>
              <w:rPr/>
            </w:pPr>
            <w:hyperlink w:anchor="Section32">
              <w:r>
                <w:rPr>
                  <w:rStyle w:val="InternetLink"/>
                  <w:rFonts w:ascii="Times New Roman;serif" w:hAnsi="Times New Roman;serif"/>
                  <w:b w:val="false"/>
                  <w:i w:val="false"/>
                  <w:caps w:val="false"/>
                  <w:smallCaps w:val="false"/>
                  <w:strike w:val="false"/>
                  <w:dstrike w:val="false"/>
                  <w:color w:val="0000FF"/>
                  <w:sz w:val="20"/>
                  <w:u w:val="single"/>
                  <w:effect w:val="none"/>
                </w:rPr>
                <w:t>Item 6.</w:t>
              </w:r>
            </w:hyperlink>
          </w:p>
        </w:tc>
        <w:tc>
          <w:tcPr>
            <w:tcW w:w="7366" w:type="dxa"/>
            <w:tcBorders/>
            <w:shd w:fill="CCEEFF" w:val="clear"/>
            <w:vAlign w:val="center"/>
          </w:tcPr>
          <w:p>
            <w:pPr>
              <w:pStyle w:val="TableContents"/>
              <w:bidi w:val="0"/>
              <w:spacing w:lineRule="auto" w:line="259" w:before="0" w:after="283"/>
              <w:jc w:val="left"/>
              <w:rPr/>
            </w:pPr>
            <w:hyperlink w:anchor="Section32">
              <w:r>
                <w:rPr>
                  <w:rStyle w:val="InternetLink"/>
                  <w:rFonts w:ascii="Times New Roman;serif" w:hAnsi="Times New Roman;serif"/>
                  <w:b w:val="false"/>
                  <w:i w:val="false"/>
                  <w:caps w:val="false"/>
                  <w:smallCaps w:val="false"/>
                  <w:strike w:val="false"/>
                  <w:dstrike w:val="false"/>
                  <w:color w:val="0000FF"/>
                  <w:sz w:val="20"/>
                  <w:u w:val="single"/>
                  <w:effect w:val="none"/>
                </w:rPr>
                <w:t>Exhibits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r>
      <w:tr>
        <w:trPr/>
        <w:tc>
          <w:tcPr>
            <w:tcW w:w="8177" w:type="dxa"/>
            <w:gridSpan w:val="2"/>
            <w:tcBorders/>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000FF"/>
                  <w:sz w:val="20"/>
                  <w:u w:val="single"/>
                  <w:effect w:val="none"/>
                </w:rPr>
                <w:t>Signatures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bl>
    <w:p>
      <w:pPr>
        <w:pStyle w:val="HorizontalLine"/>
        <w:pBdr>
          <w:bottom w:val="double" w:sz="2" w:space="0" w:color="808080"/>
        </w:pBdr>
        <w:bidi w:val="0"/>
        <w:spacing w:before="0" w:after="283"/>
        <w:jc w:val="left"/>
        <w:rPr/>
      </w:pPr>
      <w:r>
        <w:rPr/>
      </w:r>
      <w:bookmarkStart w:id="8" w:name="Section3"/>
      <w:bookmarkStart w:id="9" w:name="Section3"/>
      <w:bookmarkEnd w:id="9"/>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Cautionary Note Regarding Forward-Looking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This Quarterly Report on Form 10-Q of AquaBounty Technologies, Inc. (“AquaBounty,” the “Company,” “we,” “us” or “our”) contains forward-looking statements within the meaning of the Private Securities Litigation Reform Act of 1995, as amended, that involve significant risks and uncertainties about AquaBounty. All statements other than statements of historical fact are forward-looking statements, and AquaBounty may use words such as “expect,” “anticipate,” “project,” “intend,” “plan,” “aim,” “believe,” “seek,” “estimate,” “can,” “focus,” “will,” and “may,” similar expressions and the negative forms of such expressions to identify such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and uncertainties include, but are not limited to: our history of net losses and the likelihood of future net losses; our ability to continue as a going concern; our ability to raise additional funds, including from the sale of non-current assets, in sufficient amounts on a timely basis, on acceptable terms, or at all; our ability to obtain and maintain approvals and permits for our Ohio Farm (as defined below) without delays; </w:t>
      </w:r>
      <w:r>
        <w:rPr>
          <w:rFonts w:ascii="Times New Roman;serif" w:hAnsi="Times New Roman;serif"/>
          <w:b w:val="false"/>
          <w:i w:val="false"/>
          <w:caps w:val="false"/>
          <w:smallCaps w:val="false"/>
          <w:color w:val="000000"/>
          <w:sz w:val="20"/>
          <w:shd w:fill="FFFFFF" w:val="clear"/>
        </w:rPr>
        <w:t xml:space="preserve">risks related to potential strategic acquisitions, dispositions, mergers, joint ventures and other strategic transactions; security breaches, cyber-attacks and other disruptions could compromise our information, or expose us to fraud or liability, or interrupt our operations; </w:t>
      </w:r>
      <w:r>
        <w:rPr>
          <w:rFonts w:ascii="Times New Roman;serif" w:hAnsi="Times New Roman;serif"/>
          <w:b w:val="false"/>
          <w:i w:val="false"/>
          <w:caps w:val="false"/>
          <w:smallCaps w:val="false"/>
          <w:sz w:val="20"/>
        </w:rPr>
        <w:t xml:space="preserve">any further write-downs of the value of our assets; business, political, or economic disruptions or global health concerns; adverse developments affecting the financial services industry; our ability to use net operating losses and other tax attributes, which may be subject to certain limitations; volatility in the price of our shares of common stock; our ability to maintain our listing on the Nasdaq Stock Market LLC (“Nasdaq”); an active trading market for our common stock may not be sustained; our status as a “smaller reporting company” and a “non-accelerated filer” may cause our shares of common stock to be less attractive to investors; any issuance of preferred stock with terms that could dilute the voting power or reduce the value of our common stock; provisions in our corporate documents and Delaware law could have the effect of delaying, deferring, or preventing a change in control of us; our expectation of not paying cash dividends in the foreseeable future; </w:t>
      </w:r>
      <w:r>
        <w:rPr>
          <w:rFonts w:ascii="Times New Roman;serif" w:hAnsi="Times New Roman;serif"/>
          <w:b w:val="false"/>
          <w:i w:val="false"/>
          <w:caps w:val="false"/>
          <w:smallCaps w:val="false"/>
          <w:color w:val="000000"/>
          <w:sz w:val="20"/>
          <w:shd w:fill="FFFFFF" w:val="clear"/>
        </w:rPr>
        <w:t xml:space="preserve">the composition of our Board of Directors (“Board”) may change from time to time under our governing documents, including through the filling of vacancies, which may result in a change the Company’s strategic plan; </w:t>
      </w:r>
      <w:r>
        <w:rPr>
          <w:rFonts w:ascii="Times New Roman;serif" w:hAnsi="Times New Roman;serif"/>
          <w:b w:val="false"/>
          <w:i w:val="false"/>
          <w:caps w:val="false"/>
          <w:smallCaps w:val="false"/>
          <w:sz w:val="20"/>
        </w:rPr>
        <w:t>and other risks and uncertainties discussed in the Company’s filings with the Securities and Exchange Commission (“SEC”).</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additional disclosure regarding these and other risks faced by AquaBounty, see disclosures contained in AquaBounty’s public filings with the SEC, including the “Risk Factors” in the Company’s Annual Report on Form 10-K and this Quarterly Report on Form 10-Q. You should consider these factors in evaluating the forward-looking statements included in this Quarterly Report on Form 10-Q and not place undue reliance on such statements. The forward-looking statements are made as of the date hereof, and AquaBounty undertakes no obligation to update such statements as a result of new information, except as required by law.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 I. FINANCIAL INFORMATION</w:t>
      </w:r>
      <w:bookmarkStart w:id="10" w:name="Section4"/>
      <w:bookmarkEnd w:id="10"/>
    </w:p>
    <w:p>
      <w:pPr>
        <w:pStyle w:val="TextBody"/>
        <w:bidi w:val="0"/>
        <w:spacing w:lineRule="auto" w:line="259"/>
        <w:rPr>
          <w:rFonts w:ascii="Times New Roman;serif" w:hAnsi="Times New Roman;serif"/>
          <w:b/>
          <w:i w:val="false"/>
          <w:caps w:val="false"/>
          <w:smallCaps w:val="false"/>
          <w:sz w:val="24"/>
        </w:rPr>
      </w:pPr>
      <w:bookmarkStart w:id="11" w:name="Section5"/>
      <w:bookmarkEnd w:id="11"/>
      <w:r>
        <w:rPr>
          <w:rFonts w:ascii="Times New Roman;serif" w:hAnsi="Times New Roman;serif"/>
          <w:b/>
          <w:i w:val="false"/>
          <w:caps w:val="false"/>
          <w:smallCaps w:val="false"/>
          <w:sz w:val="24"/>
        </w:rPr>
        <w:t>Item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4"/>
        </w:rPr>
      </w:pPr>
      <w:bookmarkStart w:id="12" w:name="Section6"/>
      <w:bookmarkEnd w:id="12"/>
      <w:r>
        <w:rPr>
          <w:rFonts w:ascii="Times New Roman;serif" w:hAnsi="Times New Roman;serif"/>
          <w:b/>
          <w:i w:val="false"/>
          <w:caps w:val="false"/>
          <w:smallCaps w:val="false"/>
          <w:sz w:val="24"/>
        </w:rPr>
        <w:t>AquaBounty Technologies,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Condensed Consolidated Balance Sheets</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(Unaudited)</w:t>
      </w:r>
    </w:p>
    <w:tbl>
      <w:tblPr>
        <w:tblW w:w="10205" w:type="dxa"/>
        <w:jc w:val="left"/>
        <w:tblInd w:w="0" w:type="dxa"/>
        <w:tblLayout w:type="fixed"/>
        <w:tblCellMar>
          <w:top w:w="0" w:type="dxa"/>
          <w:left w:w="0" w:type="dxa"/>
          <w:bottom w:w="0" w:type="dxa"/>
          <w:right w:w="0" w:type="dxa"/>
        </w:tblCellMar>
      </w:tblPr>
      <w:tblGrid>
        <w:gridCol w:w="6860"/>
        <w:gridCol w:w="211"/>
        <w:gridCol w:w="1259"/>
        <w:gridCol w:w="109"/>
        <w:gridCol w:w="245"/>
        <w:gridCol w:w="1521"/>
      </w:tblGrid>
      <w:tr>
        <w:trPr/>
        <w:tc>
          <w:tcPr>
            <w:tcW w:w="6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34"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w:t>
            </w:r>
          </w:p>
        </w:tc>
      </w:tr>
      <w:tr>
        <w:trPr/>
        <w:tc>
          <w:tcPr>
            <w:tcW w:w="68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2026</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766"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December 31, 2025</w:t>
            </w:r>
          </w:p>
        </w:tc>
      </w:tr>
      <w:tr>
        <w:trPr/>
        <w:tc>
          <w:tcPr>
            <w:tcW w:w="686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Assets</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w:t>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5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1,889,291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501,295</w:t>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208,661</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266,862</w:t>
            </w:r>
          </w:p>
        </w:tc>
      </w:tr>
      <w:tr>
        <w:trPr/>
        <w:tc>
          <w:tcPr>
            <w:tcW w:w="686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 held for sale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5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9,603,157</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9,552,454</w:t>
            </w:r>
          </w:p>
        </w:tc>
      </w:tr>
      <w:tr>
        <w:trPr/>
        <w:tc>
          <w:tcPr>
            <w:tcW w:w="686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assets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11,701,109</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52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10,320,611</w:t>
            </w:r>
          </w:p>
        </w:tc>
      </w:tr>
      <w:tr>
        <w:trPr/>
        <w:tc>
          <w:tcPr>
            <w:tcW w:w="6860"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assets, net</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7,820</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22,982</w:t>
            </w:r>
          </w:p>
        </w:tc>
      </w:tr>
      <w:tr>
        <w:trPr/>
        <w:tc>
          <w:tcPr>
            <w:tcW w:w="68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5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11,708,929</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10,343,593</w:t>
            </w:r>
          </w:p>
        </w:tc>
      </w:tr>
      <w:tr>
        <w:trPr/>
        <w:tc>
          <w:tcPr>
            <w:tcW w:w="686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5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4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2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Liabilities and stockholders' equity</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 and accrued liabilities</w:t>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5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523,782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337,038</w:t>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employee compensation</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939,716</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912,103</w:t>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current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22,982</w:t>
            </w:r>
          </w:p>
        </w:tc>
      </w:tr>
      <w:tr>
        <w:trPr/>
        <w:tc>
          <w:tcPr>
            <w:tcW w:w="686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 held for sale</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5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1,277,934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7,476,254</w:t>
            </w:r>
          </w:p>
        </w:tc>
      </w:tr>
      <w:tr>
        <w:trPr/>
        <w:tc>
          <w:tcPr>
            <w:tcW w:w="686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liabilities</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2,749,252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8,748,377</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 liabilities held for sale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6,148,134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86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debt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59"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3,486,141</w:t>
            </w:r>
          </w:p>
        </w:tc>
      </w:tr>
      <w:tr>
        <w:trPr/>
        <w:tc>
          <w:tcPr>
            <w:tcW w:w="686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8,897,386</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12,234,518</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Commitments and contingencies (Note 9)</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6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Stockholders' equity (deficit):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Preferred stock, $0.01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authorized; 372,976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nil</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issued and outstanding at June 30, 2026 and December 31, 2025, respectively</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3,730</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Common stock, $0.001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75,000,000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authorized;</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5,147,204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3,877,695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at June 30, 2026</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before="0" w:after="283"/>
              <w:jc w:val="left"/>
              <w:rPr>
                <w:sz w:val="4"/>
                <w:szCs w:val="4"/>
              </w:rPr>
            </w:pPr>
            <w:r>
              <w:rPr>
                <w:sz w:val="4"/>
                <w:szCs w:val="4"/>
              </w:rPr>
            </w:r>
          </w:p>
        </w:tc>
      </w:tr>
      <w:tr>
        <w:trPr/>
        <w:tc>
          <w:tcPr>
            <w:tcW w:w="68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December 31, 2025, respectively</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5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15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3,878</w:t>
            </w:r>
          </w:p>
        </w:tc>
      </w:tr>
      <w:tr>
        <w:trPr/>
        <w:tc>
          <w:tcPr>
            <w:tcW w:w="68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paid-in capital</w:t>
            </w:r>
          </w:p>
        </w:tc>
        <w:tc>
          <w:tcPr>
            <w:tcW w:w="21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393,896,728</w:t>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386,368,222</w:t>
            </w:r>
          </w:p>
        </w:tc>
      </w:tr>
      <w:tr>
        <w:trPr/>
        <w:tc>
          <w:tcPr>
            <w:tcW w:w="686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Accumulated deficit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5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(391,094,062)</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2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(388,263,025)</w:t>
            </w:r>
          </w:p>
        </w:tc>
      </w:tr>
      <w:tr>
        <w:trPr/>
        <w:tc>
          <w:tcPr>
            <w:tcW w:w="686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stockholders' equity (deficit)</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2,811,543</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52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(1,890,925)</w:t>
            </w:r>
          </w:p>
        </w:tc>
      </w:tr>
      <w:tr>
        <w:trPr/>
        <w:tc>
          <w:tcPr>
            <w:tcW w:w="686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860"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and stockholders' equity (deficit)</w:t>
            </w:r>
          </w:p>
        </w:tc>
        <w:tc>
          <w:tcPr>
            <w:tcW w:w="21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59"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11,708,929</w:t>
            </w:r>
          </w:p>
        </w:tc>
        <w:tc>
          <w:tcPr>
            <w:tcW w:w="10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5"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2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10,343,593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these condensed consolidated financial statements.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13" w:name="Section7"/>
      <w:bookmarkEnd w:id="13"/>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AquaBounty Technologies,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Condensed Consolidated Statements of Operations and Comprehensive Loss</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(Unaudited)</w:t>
      </w:r>
    </w:p>
    <w:tbl>
      <w:tblPr>
        <w:tblW w:w="9171" w:type="dxa"/>
        <w:jc w:val="left"/>
        <w:tblInd w:w="0" w:type="dxa"/>
        <w:tblLayout w:type="fixed"/>
        <w:tblCellMar>
          <w:top w:w="0" w:type="dxa"/>
          <w:left w:w="0" w:type="dxa"/>
          <w:bottom w:w="0" w:type="dxa"/>
          <w:right w:w="0" w:type="dxa"/>
        </w:tblCellMar>
      </w:tblPr>
      <w:tblGrid>
        <w:gridCol w:w="3751"/>
        <w:gridCol w:w="211"/>
        <w:gridCol w:w="1051"/>
        <w:gridCol w:w="109"/>
        <w:gridCol w:w="211"/>
        <w:gridCol w:w="1051"/>
        <w:gridCol w:w="109"/>
        <w:gridCol w:w="211"/>
        <w:gridCol w:w="1051"/>
        <w:gridCol w:w="109"/>
        <w:gridCol w:w="211"/>
        <w:gridCol w:w="1096"/>
      </w:tblGrid>
      <w:tr>
        <w:trPr/>
        <w:tc>
          <w:tcPr>
            <w:tcW w:w="3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left"/>
              <w:rPr>
                <w:sz w:val="4"/>
                <w:szCs w:val="4"/>
              </w:rPr>
            </w:pPr>
            <w:r>
              <w:rPr>
                <w:sz w:val="4"/>
                <w:szCs w:val="4"/>
              </w:rPr>
            </w:r>
          </w:p>
        </w:tc>
        <w:tc>
          <w:tcPr>
            <w:tcW w:w="263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26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br/>
              <w:t>‎June 30,</w:t>
            </w:r>
          </w:p>
        </w:tc>
      </w:tr>
      <w:tr>
        <w:trPr/>
        <w:tc>
          <w:tcPr>
            <w:tcW w:w="37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37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Costs and expenses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and marketing</w:t>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6,613</w:t>
            </w:r>
          </w:p>
        </w:tc>
      </w:tr>
      <w:tr>
        <w:trPr/>
        <w:tc>
          <w:tcPr>
            <w:tcW w:w="375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799,258</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1,420,824</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2,355,908</w:t>
            </w:r>
          </w:p>
        </w:tc>
      </w:tr>
      <w:tr>
        <w:trPr/>
        <w:tc>
          <w:tcPr>
            <w:tcW w:w="3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costs and expenses</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799,258</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1,196,841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1,420,824</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2,362,521</w:t>
            </w:r>
          </w:p>
        </w:tc>
      </w:tr>
      <w:tr>
        <w:trPr/>
        <w:tc>
          <w:tcPr>
            <w:tcW w:w="37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loss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(799,258)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(1,196,841)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(1,420,824)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(2,362,521)</w:t>
            </w:r>
          </w:p>
        </w:tc>
      </w:tr>
      <w:tr>
        <w:trPr/>
        <w:tc>
          <w:tcPr>
            <w:tcW w:w="375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(expense) income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(529,491)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(829,476)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37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 forgiveness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2,008,046</w:t>
            </w:r>
          </w:p>
        </w:tc>
      </w:tr>
      <w:tr>
        <w:trPr/>
        <w:tc>
          <w:tcPr>
            <w:tcW w:w="375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net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(3,716)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(6,966)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(7,413)</w:t>
            </w:r>
          </w:p>
        </w:tc>
      </w:tr>
      <w:tr>
        <w:trPr/>
        <w:tc>
          <w:tcPr>
            <w:tcW w:w="3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(expense) income</w:t>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(533,207)</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(836,442)</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2,000,633</w:t>
            </w:r>
          </w:p>
        </w:tc>
      </w:tr>
      <w:tr>
        <w:trPr/>
        <w:tc>
          <w:tcPr>
            <w:tcW w:w="37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Loss from continuing operations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(1,332,465)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(1,199,820)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(2,257,266)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(361,888)</w:t>
            </w:r>
          </w:p>
        </w:tc>
      </w:tr>
      <w:tr>
        <w:trPr/>
        <w:tc>
          <w:tcPr>
            <w:tcW w:w="375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Loss from discontinued operations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(298,502)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(2,173,217)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(573,771)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(2,610,014)</w:t>
            </w:r>
          </w:p>
        </w:tc>
      </w:tr>
      <w:tr>
        <w:trPr/>
        <w:tc>
          <w:tcPr>
            <w:tcW w:w="375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bottom w:val="double" w:sz="6"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w:t>
            </w:r>
          </w:p>
        </w:tc>
        <w:tc>
          <w:tcPr>
            <w:tcW w:w="21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(1,630,967)</w:t>
            </w:r>
          </w:p>
        </w:tc>
        <w:tc>
          <w:tcPr>
            <w:tcW w:w="10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(3,373,037)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(2,831,037)</w:t>
            </w:r>
          </w:p>
        </w:tc>
        <w:tc>
          <w:tcPr>
            <w:tcW w:w="109"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bottom w:val="double" w:sz="6"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(2,971,902)</w:t>
            </w:r>
          </w:p>
        </w:tc>
      </w:tr>
      <w:tr>
        <w:trPr/>
        <w:tc>
          <w:tcPr>
            <w:tcW w:w="37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comprehensive income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Foreign currency translation gain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688,229</w:t>
            </w:r>
          </w:p>
        </w:tc>
      </w:tr>
      <w:tr>
        <w:trPr/>
        <w:tc>
          <w:tcPr>
            <w:tcW w:w="3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5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Comprehensive loss</w:t>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(1,630,967)</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(3,373,037)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(2,831,037)</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(2,283,673)</w:t>
            </w:r>
          </w:p>
        </w:tc>
      </w:tr>
      <w:tr>
        <w:trPr/>
        <w:tc>
          <w:tcPr>
            <w:tcW w:w="37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and diluted net loss per share</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continuing operations</w:t>
            </w:r>
          </w:p>
        </w:tc>
        <w:tc>
          <w:tcPr>
            <w:tcW w:w="2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(0.10)</w:t>
            </w:r>
          </w:p>
        </w:tc>
      </w:tr>
      <w:tr>
        <w:trPr/>
        <w:tc>
          <w:tcPr>
            <w:tcW w:w="375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discontinued operations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(0.06)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(0.12)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(0.67)</w:t>
            </w:r>
          </w:p>
        </w:tc>
      </w:tr>
      <w:tr>
        <w:trPr/>
        <w:tc>
          <w:tcPr>
            <w:tcW w:w="37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basic and diluted net loss per share</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(0.32)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(0.87)</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(0.58)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(0.77)</w:t>
            </w:r>
          </w:p>
        </w:tc>
      </w:tr>
      <w:tr>
        <w:trPr/>
        <w:tc>
          <w:tcPr>
            <w:tcW w:w="3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number of common shares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basic and diluted</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5,147,204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3,872,587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4,858,210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3,869,708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these condensed consolidated financial statements.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14" w:name="Section8"/>
      <w:bookmarkEnd w:id="14"/>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AquaBounty Technologies,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Condensed Consolidated Statements of Changes in Stockholders’ Equity (Deficit)</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(Unaudited)</w:t>
      </w:r>
    </w:p>
    <w:tbl>
      <w:tblPr>
        <w:tblW w:w="10987" w:type="dxa"/>
        <w:jc w:val="left"/>
        <w:tblInd w:w="0" w:type="dxa"/>
        <w:tblLayout w:type="fixed"/>
        <w:tblCellMar>
          <w:top w:w="0" w:type="dxa"/>
          <w:left w:w="0" w:type="dxa"/>
          <w:bottom w:w="0" w:type="dxa"/>
          <w:right w:w="0" w:type="dxa"/>
        </w:tblCellMar>
      </w:tblPr>
      <w:tblGrid>
        <w:gridCol w:w="1351"/>
        <w:gridCol w:w="262"/>
        <w:gridCol w:w="834"/>
        <w:gridCol w:w="109"/>
        <w:gridCol w:w="216"/>
        <w:gridCol w:w="355"/>
        <w:gridCol w:w="114"/>
        <w:gridCol w:w="982"/>
        <w:gridCol w:w="109"/>
        <w:gridCol w:w="211"/>
        <w:gridCol w:w="571"/>
        <w:gridCol w:w="109"/>
        <w:gridCol w:w="211"/>
        <w:gridCol w:w="1141"/>
        <w:gridCol w:w="109"/>
        <w:gridCol w:w="276"/>
        <w:gridCol w:w="1105"/>
        <w:gridCol w:w="109"/>
        <w:gridCol w:w="211"/>
        <w:gridCol w:w="1201"/>
        <w:gridCol w:w="109"/>
        <w:gridCol w:w="211"/>
        <w:gridCol w:w="1081"/>
      </w:tblGrid>
      <w:tr>
        <w:trPr/>
        <w:tc>
          <w:tcPr>
            <w:tcW w:w="13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Preferred stock issued and 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 value</w:t>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 issued and 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 value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Additional paid-in capital</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Accumulated other comprehensive income (loss)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Accumulated deficit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13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December 31, 2024</w:t>
            </w:r>
          </w:p>
        </w:tc>
        <w:tc>
          <w:tcPr>
            <w:tcW w:w="26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55"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3,865,778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3,866</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386,297,611</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(688,229)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(369,772,538)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15,840,710</w:t>
            </w:r>
          </w:p>
        </w:tc>
      </w:tr>
      <w:tr>
        <w:trPr/>
        <w:tc>
          <w:tcPr>
            <w:tcW w:w="13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income</w:t>
            </w:r>
          </w:p>
        </w:tc>
        <w:tc>
          <w:tcPr>
            <w:tcW w:w="26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401,135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401,135</w:t>
            </w:r>
          </w:p>
        </w:tc>
      </w:tr>
      <w:tr>
        <w:trPr/>
        <w:tc>
          <w:tcPr>
            <w:tcW w:w="13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83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6" w:type="dxa"/>
            <w:tcBorders/>
            <w:shd w:fill="CCEEFF" w:val="clear"/>
            <w:vAlign w:val="center"/>
          </w:tcPr>
          <w:p>
            <w:pPr>
              <w:pStyle w:val="TableContents"/>
              <w:bidi w:val="0"/>
              <w:spacing w:before="0" w:after="283"/>
              <w:jc w:val="left"/>
              <w:rPr>
                <w:sz w:val="4"/>
                <w:szCs w:val="4"/>
              </w:rPr>
            </w:pPr>
            <w:r>
              <w:rPr>
                <w:sz w:val="4"/>
                <w:szCs w:val="4"/>
              </w:rPr>
            </w:r>
          </w:p>
        </w:tc>
        <w:tc>
          <w:tcPr>
            <w:tcW w:w="355"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10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688,229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688,229</w:t>
            </w:r>
          </w:p>
        </w:tc>
      </w:tr>
      <w:tr>
        <w:trPr/>
        <w:tc>
          <w:tcPr>
            <w:tcW w:w="135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Share-based compensation</w:t>
            </w:r>
          </w:p>
        </w:tc>
        <w:tc>
          <w:tcPr>
            <w:tcW w:w="2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3,583</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40,158</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40,161</w:t>
            </w:r>
          </w:p>
        </w:tc>
      </w:tr>
      <w:tr>
        <w:trPr/>
        <w:tc>
          <w:tcPr>
            <w:tcW w:w="13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March 31, 2025</w:t>
            </w:r>
          </w:p>
        </w:tc>
        <w:tc>
          <w:tcPr>
            <w:tcW w:w="2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5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3,869,361</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3,869</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386,337,769</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(369,371,403)</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16,970,235</w:t>
            </w:r>
          </w:p>
        </w:tc>
      </w:tr>
      <w:tr>
        <w:trPr/>
        <w:tc>
          <w:tcPr>
            <w:tcW w:w="135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(3,373,037)</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(3,373,037)</w:t>
            </w:r>
          </w:p>
        </w:tc>
      </w:tr>
      <w:tr>
        <w:trPr/>
        <w:tc>
          <w:tcPr>
            <w:tcW w:w="135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Share-based compensation</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8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8,334</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16,718</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7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16,727</w:t>
            </w:r>
          </w:p>
        </w:tc>
      </w:tr>
      <w:tr>
        <w:trPr/>
        <w:tc>
          <w:tcPr>
            <w:tcW w:w="13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at June 30, 2025</w:t>
            </w:r>
          </w:p>
        </w:tc>
        <w:tc>
          <w:tcPr>
            <w:tcW w:w="26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5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3,877,695</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3,878</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386,354,487</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(372,744,440)</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13,613,925</w:t>
            </w:r>
          </w:p>
        </w:tc>
      </w:tr>
    </w:tbl>
    <w:tbl>
      <w:tblPr>
        <w:tblW w:w="11093" w:type="dxa"/>
        <w:jc w:val="left"/>
        <w:tblInd w:w="0" w:type="dxa"/>
        <w:tblLayout w:type="fixed"/>
        <w:tblCellMar>
          <w:top w:w="0" w:type="dxa"/>
          <w:left w:w="0" w:type="dxa"/>
          <w:bottom w:w="0" w:type="dxa"/>
          <w:right w:w="0" w:type="dxa"/>
        </w:tblCellMar>
      </w:tblPr>
      <w:tblGrid>
        <w:gridCol w:w="1291"/>
        <w:gridCol w:w="134"/>
        <w:gridCol w:w="962"/>
        <w:gridCol w:w="109"/>
        <w:gridCol w:w="211"/>
        <w:gridCol w:w="571"/>
        <w:gridCol w:w="114"/>
        <w:gridCol w:w="982"/>
        <w:gridCol w:w="109"/>
        <w:gridCol w:w="211"/>
        <w:gridCol w:w="571"/>
        <w:gridCol w:w="109"/>
        <w:gridCol w:w="211"/>
        <w:gridCol w:w="1141"/>
        <w:gridCol w:w="109"/>
        <w:gridCol w:w="523"/>
        <w:gridCol w:w="858"/>
        <w:gridCol w:w="109"/>
        <w:gridCol w:w="211"/>
        <w:gridCol w:w="1201"/>
        <w:gridCol w:w="109"/>
        <w:gridCol w:w="211"/>
        <w:gridCol w:w="1036"/>
      </w:tblGrid>
      <w:tr>
        <w:trPr/>
        <w:tc>
          <w:tcPr>
            <w:tcW w:w="12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29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Preferred stock issued and 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 value</w:t>
            </w:r>
          </w:p>
        </w:tc>
        <w:tc>
          <w:tcPr>
            <w:tcW w:w="109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 issued and 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 value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Additional paid-in capital</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Accumulated other comprehensive income (loss)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Accumulated deficit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12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December 31, 2025</w:t>
            </w:r>
          </w:p>
        </w:tc>
        <w:tc>
          <w:tcPr>
            <w:tcW w:w="13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3,877,695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3,878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386,368,222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(388,263,025)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(1,890,925)</w:t>
            </w:r>
          </w:p>
        </w:tc>
      </w:tr>
      <w:tr>
        <w:trPr/>
        <w:tc>
          <w:tcPr>
            <w:tcW w:w="12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w:t>
            </w:r>
          </w:p>
        </w:tc>
        <w:tc>
          <w:tcPr>
            <w:tcW w:w="13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(1,200,070)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(1,200,070)</w:t>
            </w:r>
          </w:p>
        </w:tc>
      </w:tr>
      <w:tr>
        <w:trPr/>
        <w:tc>
          <w:tcPr>
            <w:tcW w:w="12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Issuance of common stock and warrants</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1,269,509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958,281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3"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959,550</w:t>
            </w:r>
          </w:p>
        </w:tc>
      </w:tr>
      <w:tr>
        <w:trPr/>
        <w:tc>
          <w:tcPr>
            <w:tcW w:w="12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Share-based compensation</w:t>
            </w:r>
          </w:p>
        </w:tc>
        <w:tc>
          <w:tcPr>
            <w:tcW w:w="1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5,014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5,014</w:t>
            </w:r>
          </w:p>
        </w:tc>
      </w:tr>
      <w:tr>
        <w:trPr/>
        <w:tc>
          <w:tcPr>
            <w:tcW w:w="12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March 31, 2026</w:t>
            </w:r>
          </w:p>
        </w:tc>
        <w:tc>
          <w:tcPr>
            <w:tcW w:w="13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5,147,204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5,147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387,331,517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(389,463,095)</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(2,126,431)</w:t>
            </w:r>
          </w:p>
        </w:tc>
      </w:tr>
      <w:tr>
        <w:trPr/>
        <w:tc>
          <w:tcPr>
            <w:tcW w:w="129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w:t>
            </w:r>
          </w:p>
        </w:tc>
        <w:tc>
          <w:tcPr>
            <w:tcW w:w="13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(1,630,967)</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(1,630,967)</w:t>
            </w:r>
          </w:p>
        </w:tc>
      </w:tr>
      <w:tr>
        <w:trPr/>
        <w:tc>
          <w:tcPr>
            <w:tcW w:w="129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Issuance of preferred stock</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962"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372,976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3,730</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6,770,244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3"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6,773,974</w:t>
            </w:r>
          </w:p>
        </w:tc>
      </w:tr>
      <w:tr>
        <w:trPr/>
        <w:tc>
          <w:tcPr>
            <w:tcW w:w="129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Dividends on preferred stock</w:t>
            </w:r>
          </w:p>
        </w:tc>
        <w:tc>
          <w:tcPr>
            <w:tcW w:w="13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(205,033)</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(205,033)</w:t>
            </w:r>
          </w:p>
        </w:tc>
      </w:tr>
      <w:tr>
        <w:trPr/>
        <w:tc>
          <w:tcPr>
            <w:tcW w:w="129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 at June 30, 2026</w:t>
            </w:r>
          </w:p>
        </w:tc>
        <w:tc>
          <w:tcPr>
            <w:tcW w:w="1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372,976</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3,730</w:t>
            </w:r>
          </w:p>
        </w:tc>
        <w:tc>
          <w:tcPr>
            <w:tcW w:w="11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8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5,147,204</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5,147</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1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393,896,728</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2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(391,094,062)</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2,811,543</w:t>
            </w:r>
          </w:p>
        </w:tc>
      </w:tr>
      <w:tr>
        <w:trPr/>
        <w:tc>
          <w:tcPr>
            <w:tcW w:w="129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8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5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52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5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these condensed consolidated financial statements.</w:t>
      </w:r>
    </w:p>
    <w:p>
      <w:pPr>
        <w:pStyle w:val="TextBody"/>
        <w:bidi w:val="0"/>
        <w:spacing w:lineRule="auto" w:line="259"/>
        <w:rPr>
          <w:rFonts w:ascii="Times New Roman;serif" w:hAnsi="Times New Roman;serif"/>
          <w:sz w:val="20"/>
        </w:rPr>
      </w:pPr>
      <w:bookmarkStart w:id="15" w:name="Section9"/>
      <w:bookmarkEnd w:id="15"/>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AquaBounty Technologies, Inc.</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Condensed Consolidated Statements of Cash Flows</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(Unaudited)</w:t>
      </w:r>
    </w:p>
    <w:tbl>
      <w:tblPr>
        <w:tblW w:w="9249" w:type="dxa"/>
        <w:jc w:val="left"/>
        <w:tblInd w:w="0" w:type="dxa"/>
        <w:tblLayout w:type="fixed"/>
        <w:tblCellMar>
          <w:top w:w="0" w:type="dxa"/>
          <w:left w:w="0" w:type="dxa"/>
          <w:bottom w:w="0" w:type="dxa"/>
          <w:right w:w="0" w:type="dxa"/>
        </w:tblCellMar>
      </w:tblPr>
      <w:tblGrid>
        <w:gridCol w:w="6571"/>
        <w:gridCol w:w="211"/>
        <w:gridCol w:w="1051"/>
        <w:gridCol w:w="109"/>
        <w:gridCol w:w="211"/>
        <w:gridCol w:w="1096"/>
      </w:tblGrid>
      <w:tr>
        <w:trPr/>
        <w:tc>
          <w:tcPr>
            <w:tcW w:w="6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before="0" w:after="283"/>
              <w:jc w:val="left"/>
              <w:rPr>
                <w:sz w:val="4"/>
                <w:szCs w:val="4"/>
              </w:rPr>
            </w:pPr>
            <w:r>
              <w:rPr>
                <w:sz w:val="4"/>
                <w:szCs w:val="4"/>
              </w:rPr>
            </w:r>
          </w:p>
        </w:tc>
        <w:tc>
          <w:tcPr>
            <w:tcW w:w="2678"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br/>
              <w:t>‎June 30,</w:t>
            </w:r>
          </w:p>
        </w:tc>
      </w:tr>
      <w:tr>
        <w:trPr/>
        <w:tc>
          <w:tcPr>
            <w:tcW w:w="65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65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activities</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(2,831,037)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(2,971,902)</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 to reconcile net loss to net cash used in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Share-based compensation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5,014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56,888</w:t>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Long-lived asset impairment</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1,218,866</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 forgiveness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(2,008,046)</w:t>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non-cash expense</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513,859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Changes in operating assets and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assets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22,660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(501,960)</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 and accrued liabilities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308,580</w:t>
            </w:r>
          </w:p>
        </w:tc>
      </w:tr>
      <w:tr>
        <w:trPr/>
        <w:tc>
          <w:tcPr>
            <w:tcW w:w="65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employee compensation</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27,613</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(12,473)</w:t>
            </w:r>
          </w:p>
        </w:tc>
      </w:tr>
      <w:tr>
        <w:trPr/>
        <w:tc>
          <w:tcPr>
            <w:tcW w:w="6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operating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(2,345,528)</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(3,910,047)</w:t>
            </w:r>
          </w:p>
        </w:tc>
      </w:tr>
      <w:tr>
        <w:trPr/>
        <w:tc>
          <w:tcPr>
            <w:tcW w:w="65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Investing activities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65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asset sales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4,632,679</w:t>
            </w:r>
          </w:p>
        </w:tc>
      </w:tr>
      <w:tr>
        <w:trPr/>
        <w:tc>
          <w:tcPr>
            <w:tcW w:w="6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investing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4,632,679</w:t>
            </w:r>
          </w:p>
        </w:tc>
      </w:tr>
      <w:tr>
        <w:trPr/>
        <w:tc>
          <w:tcPr>
            <w:tcW w:w="65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Financing activities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Repayment of term debt</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(232,194)</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issuance of common stock and warrants, net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959,550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65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issuance of preferred stock, net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2,773,974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65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financing activities</w:t>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3,733,524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(232,194)</w:t>
            </w:r>
          </w:p>
        </w:tc>
      </w:tr>
      <w:tr>
        <w:trPr/>
        <w:tc>
          <w:tcPr>
            <w:tcW w:w="65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changes on cash and cash equivalents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8,769</w:t>
            </w:r>
          </w:p>
        </w:tc>
      </w:tr>
      <w:tr>
        <w:trPr/>
        <w:tc>
          <w:tcPr>
            <w:tcW w:w="657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 in cash</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1,387,996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499,207</w:t>
            </w:r>
          </w:p>
        </w:tc>
      </w:tr>
      <w:tr>
        <w:trPr/>
        <w:tc>
          <w:tcPr>
            <w:tcW w:w="657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at beginning of period</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501,295</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230,362</w:t>
            </w:r>
          </w:p>
        </w:tc>
      </w:tr>
      <w:tr>
        <w:trPr/>
        <w:tc>
          <w:tcPr>
            <w:tcW w:w="65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at end of period</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1,889,291</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729,569</w:t>
            </w:r>
          </w:p>
        </w:tc>
      </w:tr>
      <w:tr>
        <w:trPr/>
        <w:tc>
          <w:tcPr>
            <w:tcW w:w="657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7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Supplemental disclosure of cash flow information and non-cash transactions:</w:t>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paid in cash from discontinued operations</w:t>
            </w:r>
          </w:p>
        </w:tc>
        <w:tc>
          <w:tcPr>
            <w:tcW w:w="2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293,021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16,903</w:t>
            </w:r>
          </w:p>
        </w:tc>
      </w:tr>
      <w:tr>
        <w:trPr/>
        <w:tc>
          <w:tcPr>
            <w:tcW w:w="65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conversion of notes and accrued interest to preferred stock</w:t>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4,315,616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conversion of accounts payable to current debt</w:t>
            </w:r>
          </w:p>
        </w:tc>
        <w:tc>
          <w:tcPr>
            <w:tcW w:w="21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5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1,847,602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these condensed consolidated financial statements.</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16" w:name="Section10"/>
      <w:bookmarkEnd w:id="16"/>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AquaBounty Technologies, Inc.</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Notes to the condensed consolidated financial statements</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(unaudited)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7" w:name="Section11"/>
      <w:bookmarkEnd w:id="17"/>
      <w:r>
        <w:rPr>
          <w:rFonts w:ascii="Times New Roman;serif" w:hAnsi="Times New Roman;serif"/>
          <w:b/>
          <w:i w:val="false"/>
          <w:caps w:val="false"/>
          <w:smallCaps w:val="false"/>
          <w:sz w:val="20"/>
        </w:rPr>
        <w:t>1. Nature of Business and Organization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AquaBounty Technologies, Inc. (the “Parent” and, together with its wholly owned subsidiaries, the “Company”) was incorporated in December 1991 in the State of Delaware for the purpose of conducting research and development of the commercial viability of a group of proteins commonly known as antifreeze proteins. In 1996, the Parent obtained the exclusive licensing rights for a gene construct (transgene) used to create a breed of farm-raised Atlantic salmon that exhibit growth rates that are substantially faster than conventional Atlantic salmon.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historically pursued a growth strategy that included the construction of large-scale recirculating aquaculture system (“RAS”) farms for producing its genetically engineered Atlantic salmon (“GE Atlantic salmon”). The Company had commenced construction of a 10,000 metric ton farm in Pioneer, Ohio (“Ohio Farm Project”), but paused the construction in June 2023, as the cost estimate to complete the farm continued to substantially increase due to inflation and other factors. Further, these cost increases impaired the Company’s ability to pursue municipal bond financing, which was a necessary component of its funding strategy. The Company subsequently engaged an investment bank to pursue a range of funding and strategic alternatives and to assist management in the prioritization of the Company’s core assets. These efforts resulted in the sale of the Company’s grow-out farm in Indiana (“Indiana Farm”) in July 2024, recurring sales throughout 2024 and 2025 of selected equipment originally intended for the Ohio Farm Project (“Ohio Equipment Assets”), and the sale of the Company’s Canadian subsidiary, including the broodstock farms owned by the Canadian subsidiary in Prince Edward Island, Canada (“Canadian Farms”) and its intellectual property for GE Atlantic salmon, along with trademarks and patents (“Corporate IP”) in March 2025. After completion of these transactions, the Company’s primary remaining asset as of June 30, 2026 is its investment in the Ohio Farm Project, consisting of the remaining Ohio Equipment Assets and the land and construction in process (“Ohio Farm Site”). The Company continues to work with its investment bank to identify the optimal path forward for realizing the potential of this asset.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 Going Concern Uncertainty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Since inception, the Company has incurred cumulative net losses of $391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expects that this will continue for the foreseeable future. As of June 30, 2026, the Company had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cash on its condensed consolidated balance sheet.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ability to continue as a going concern is dependent upon its ability to raise additional capital, including its ability to sell assets to generate liquidity to fund ongoing operations, and there can be no assurance that such capital will be available in sufficient amounts, on a timely basis, or on terms acceptable to the Company, or at all. Limited operating assets, dependency on capital raising activities and cumulative net losses raises substantial doubt about the Company’s ability to continue as a going concern within one year after the date that the accompanying condensed consolidated financial statements are issued. The accompanying condensed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year ended December 31, 2025, the Company’s management continued to sell assets to generate cash for working capital, while exploring strategic alternatives to raise funds with the goal of maximizing stockholder value. Potential alternatives that were evaluated included, but were not limited to, equity or debt financing, a merger, and the sale of all or part of the Company.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February 11, 2026, the Company completed an equity transaction with certain investors, pursuant to which the Company sold an aggregate of 1,269,509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its common stock, par value $0.001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(“Common Stock”) and pre-funded warrants to purchase an aggregate of 67,706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for gross proceeds of $1.15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On April 7, 2026, the Company entered into securities exchange agreements in a private placement with the holders of the Company’s outstanding Senior Notes, pursuant to which an aggregate of $4.0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million of principal and $316</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thousand of accrued and unpaid interest was exchanged for an aggregate of 236,367</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Series A Convertible preferred stock, par value $0.01</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per share (“Series A PS”). The transaction also included the issuance of 27,386</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Series A PS to a certain investor for gross proceeds of $500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thousand. The Series A PS issued in the transaction are convertible into up to 5,275,060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Common Stock at the option of the holders.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On June 25, 2026, the Company entered into securities purchase agreements with certain purchasers, pursuant to which the Company issued and sold 109,223</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Series B Convertible Preferred Stock, par value $0.01</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 xml:space="preserve">per share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(“Series B PS”)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shd w:fill="FFFFFF" w:val="clear"/>
        </w:rPr>
        <w:t>for gross proceeds of $2.25</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million. The Series B PS are convertible into up to 2,184,460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Common Stock at the option of the holders.</w:t>
      </w:r>
    </w:p>
    <w:p>
      <w:pPr>
        <w:pStyle w:val="TextBody"/>
        <w:bidi w:val="0"/>
        <w:spacing w:lineRule="auto" w:line="259"/>
        <w:rPr>
          <w:rFonts w:ascii="Times New Roman;serif" w:hAnsi="Times New Roman;serif"/>
          <w:b/>
          <w:i w:val="false"/>
          <w:caps w:val="false"/>
          <w:smallCaps w:val="false"/>
          <w:sz w:val="20"/>
        </w:rPr>
      </w:pPr>
      <w:bookmarkStart w:id="18" w:name="Section12"/>
      <w:bookmarkEnd w:id="18"/>
      <w:r>
        <w:rPr>
          <w:rFonts w:ascii="Times New Roman;serif" w:hAnsi="Times New Roman;serif"/>
          <w:b/>
          <w:i w:val="false"/>
          <w:caps w:val="false"/>
          <w:smallCaps w:val="false"/>
          <w:sz w:val="20"/>
        </w:rPr>
        <w:t>3. Basis of Presentation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unaudited interim condensed consolidated financial statements include the accounts of AquaBounty Technologies, Inc. and its wholly owned direct subsidiaries. All intercompany transactions and balances have been eliminated upon consolidation.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unaudited interim condensed consolidated financial statements have been prepared in conformity with generally accepted accounting principles in the United States (“GAAP”) consistent with those applied in, and should be read in conjunction with, the Company’s audited financial statements and related notes for the year ended December 31, 2025. The unaudited interim condensed consolidated financial statements reflect all adjustments, consisting only of normal recurring adjustments, which are, in the opinion of management, necessary for a fair presentation of the Company’s financial position as of June 30, 2026, results of operations and cash flows for the interim periods presented and are not necessarily indicative of results for subsequent interim periods or for the full year. The unaudited interim condensed consolidated financial statements do not include all of the information and notes required by GAAP for complete financial statements, as allowed by the relevant SEC rules and regulations; however, the Company believes that its disclosures are adequate to ensure that the information presented is not misleading.</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Discontinued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noted above, the Company sold its Indiana Farm in July 2024 and its Canadian Farms in March 2025. At December 31, 2025, the Company determined that its actions and decisions during 2025 regarding its Ohio Farm Project constituted a triggering event for revaluing these assets. These farms have been designated as discontinued operations in these interim condensed consolidated financial statements for all periods presented (see Note 5).</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Loss Per Share</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 and diluted net loss per share available to common stockholders have been calculated by dividing net loss by the weighted average number of shares of common stock outstanding during the period. Basic net loss per share is based solely on the number of shares of common stock outstanding during the period. Fully diluted net loss per share includes the number of shares of common stock issuable upon the exercise of warrants or options with an exercise price less than the fair value of the common stock. Since the Company is reporting a net loss for all periods presented, all potential shares of common stock are considered anti-dilutive and are excluded from the calculation of diluted net loss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contains the Company’s potentially dilutive securities:</w:t>
      </w:r>
    </w:p>
    <w:tbl>
      <w:tblPr>
        <w:tblW w:w="5790" w:type="dxa"/>
        <w:jc w:val="left"/>
        <w:tblInd w:w="0" w:type="dxa"/>
        <w:tblLayout w:type="fixed"/>
        <w:tblCellMar>
          <w:top w:w="0" w:type="dxa"/>
          <w:left w:w="0" w:type="dxa"/>
          <w:bottom w:w="0" w:type="dxa"/>
          <w:right w:w="0" w:type="dxa"/>
        </w:tblCellMar>
      </w:tblPr>
      <w:tblGrid>
        <w:gridCol w:w="2686"/>
        <w:gridCol w:w="109"/>
        <w:gridCol w:w="109"/>
        <w:gridCol w:w="109"/>
        <w:gridCol w:w="109"/>
        <w:gridCol w:w="1329"/>
        <w:gridCol w:w="155"/>
        <w:gridCol w:w="155"/>
        <w:gridCol w:w="1029"/>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 June 30,</w:t>
            </w:r>
          </w:p>
        </w:tc>
      </w:tr>
      <w:tr>
        <w:trPr/>
        <w:tc>
          <w:tcPr>
            <w:tcW w:w="268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1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r>
      <w:tr>
        <w:trPr/>
        <w:tc>
          <w:tcPr>
            <w:tcW w:w="2904"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options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2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37,594</w:t>
            </w:r>
          </w:p>
        </w:tc>
        <w:tc>
          <w:tcPr>
            <w:tcW w:w="15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2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47,178</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67,706</w:t>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Convertible preferred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9"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5,071,284</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029"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904" w:type="dxa"/>
            <w:gridSpan w:val="3"/>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Unvested stock awards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9"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4,945</w:t>
            </w:r>
          </w:p>
        </w:tc>
      </w:tr>
    </w:tbl>
    <w:tbl>
      <w:tblPr>
        <w:tblW w:w="5551" w:type="dxa"/>
        <w:jc w:val="left"/>
        <w:tblInd w:w="0" w:type="dxa"/>
        <w:tblLayout w:type="fixed"/>
        <w:tblCellMar>
          <w:top w:w="0" w:type="dxa"/>
          <w:left w:w="0" w:type="dxa"/>
          <w:bottom w:w="0" w:type="dxa"/>
          <w:right w:w="0" w:type="dxa"/>
        </w:tblCellMar>
      </w:tblPr>
      <w:tblGrid>
        <w:gridCol w:w="2686"/>
        <w:gridCol w:w="109"/>
        <w:gridCol w:w="109"/>
        <w:gridCol w:w="109"/>
        <w:gridCol w:w="109"/>
        <w:gridCol w:w="1210"/>
        <w:gridCol w:w="141"/>
        <w:gridCol w:w="141"/>
        <w:gridCol w:w="937"/>
      </w:tblGrid>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9"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Six Months Ended June 30,</w:t>
            </w:r>
          </w:p>
        </w:tc>
      </w:tr>
      <w:tr>
        <w:trPr/>
        <w:tc>
          <w:tcPr>
            <w:tcW w:w="268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1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r>
      <w:tr>
        <w:trPr/>
        <w:tc>
          <w:tcPr>
            <w:tcW w:w="2904" w:type="dxa"/>
            <w:gridSpan w:val="3"/>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options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37,777</w:t>
            </w:r>
          </w:p>
        </w:tc>
        <w:tc>
          <w:tcPr>
            <w:tcW w:w="1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53,895</w:t>
            </w:r>
          </w:p>
        </w:tc>
      </w:tr>
      <w:tr>
        <w:trPr/>
        <w:tc>
          <w:tcPr>
            <w:tcW w:w="26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51,995</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Convertible preferred stock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0"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2,549,651</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2904" w:type="dxa"/>
            <w:gridSpan w:val="3"/>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Unvested stock awards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10"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8,039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does not include the potential dilutive shares that could be issued from preferred stock dividends.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Accounting Pronouncements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November 2024, the Financial Accounting Standards Board issued Accounting Standards Update (“ASU”) No. 2024-03, Disaggregation of Income Statement Expenses,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 The amendments in this update are effective for public entities for annual periods beginning after December 15, 2026, and interim periods beginning after December 15, 2027. The amendments may be adopted either prospectively or retrospectively. Early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adoption is permitted. The Company is currently evaluating the impacts of this update and plans to adopt these amendments for annual disclosures for the year ended December 31, 2027, and interim disclosures in the year ended December 31, 2028.</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Management does not expect any other recently issued, but not yet effective, accounting standards to have a material effect on its results of operations or financial condition.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bookmarkStart w:id="19" w:name="Section13"/>
      <w:bookmarkEnd w:id="19"/>
      <w:r>
        <w:rPr>
          <w:rFonts w:ascii="Times New Roman;serif" w:hAnsi="Times New Roman;serif"/>
          <w:b/>
          <w:i w:val="false"/>
          <w:caps w:val="false"/>
          <w:smallCaps w:val="false"/>
          <w:sz w:val="20"/>
        </w:rPr>
        <w:t>4. Risks and Uncertainties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subject to risks and uncertainties associated with its current operations. Such risks and uncertainties include, but are not limited to: (i) timing of securing additional sources of cash; (ii) realization of asset values different than those recorded on the Company’s consolidated balance sheet; and (iii) stockholder approval of any plans made by the Company’s management and board of directors that require stockholder approval.</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Concentration of Credit Risk</w:t>
      </w:r>
    </w:p>
    <w:p>
      <w:pPr>
        <w:pStyle w:val="TextBody"/>
        <w:bidi w:val="0"/>
        <w:spacing w:lineRule="auto" w:line="259" w:before="0" w:after="1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instruments that potentially subject the Company to credit risk consist principally of cash balances. This risk is mitigated by the Company’s policy of maintaining all balances with highly rated financial institutions. The Company’s cash balances may at times exceed insurance limitations. </w:t>
      </w:r>
    </w:p>
    <w:p>
      <w:pPr>
        <w:pStyle w:val="TextBody"/>
        <w:bidi w:val="0"/>
        <w:spacing w:lineRule="auto" w:line="259"/>
        <w:rPr>
          <w:rFonts w:ascii="Times New Roman;serif" w:hAnsi="Times New Roman;serif"/>
          <w:b/>
          <w:i w:val="false"/>
          <w:caps w:val="false"/>
          <w:smallCaps w:val="false"/>
          <w:sz w:val="20"/>
        </w:rPr>
      </w:pPr>
      <w:bookmarkStart w:id="20" w:name="Section14"/>
      <w:bookmarkEnd w:id="20"/>
      <w:r>
        <w:rPr>
          <w:rFonts w:ascii="Times New Roman;serif" w:hAnsi="Times New Roman;serif"/>
          <w:b/>
          <w:i w:val="false"/>
          <w:caps w:val="false"/>
          <w:smallCaps w:val="false"/>
          <w:sz w:val="20"/>
        </w:rPr>
        <w:t>5. Discontinued Operations and Assets Held for Sale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July 2024, the Company sold its Indiana Farm for a sale price of $9.5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less transaction expenses of $305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which included certain Ohio Equipment Assets with a carrying value of $13.0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that had been purchased for the Company’s Ohio Farm Project. In December 2024, the Company announced the winddown of its Canadian fish rearing operations and sold its Canadian Farms in March 2025 for a sale price of $5.2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including the assumption of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outstanding loans, less transaction expenses of $216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These decisions by the Company represented a strategic shift that has had a major effect on the Company’s operations and financial results. Consequently, each of these farms has been designated as discontinued operations in the condensed consolidated financial statements for the periods presented.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the Company has been working with its investment bank to identify the optimal path forward for realizing the potential of its assets, including the possible sale of the Ohio Farm Project. The Company received a non-binding Letter of Interest to purchase the Ohio subsidiary, and consequently the Company determined that the actions and decisions that occurred leading up to receiving this offer constituted a triggering event for revaluing these assets and has included the Ohio Farm Project in discontinued operations in the condensed consolidated financial statements for the periods presented.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Provided below are the major areas of the financial statements that constitute discontinued operations. </w:t>
      </w:r>
    </w:p>
    <w:tbl>
      <w:tblPr>
        <w:tblW w:w="6586" w:type="dxa"/>
        <w:jc w:val="left"/>
        <w:tblInd w:w="0" w:type="dxa"/>
        <w:tblLayout w:type="fixed"/>
        <w:tblCellMar>
          <w:top w:w="0" w:type="dxa"/>
          <w:left w:w="0" w:type="dxa"/>
          <w:bottom w:w="0" w:type="dxa"/>
          <w:right w:w="0" w:type="dxa"/>
        </w:tblCellMar>
      </w:tblPr>
      <w:tblGrid>
        <w:gridCol w:w="3376"/>
        <w:gridCol w:w="109"/>
        <w:gridCol w:w="109"/>
        <w:gridCol w:w="109"/>
        <w:gridCol w:w="109"/>
        <w:gridCol w:w="109"/>
        <w:gridCol w:w="109"/>
        <w:gridCol w:w="211"/>
        <w:gridCol w:w="931"/>
        <w:gridCol w:w="109"/>
        <w:gridCol w:w="232"/>
        <w:gridCol w:w="1073"/>
      </w:tblGrid>
      <w:tr>
        <w:trPr/>
        <w:tc>
          <w:tcPr>
            <w:tcW w:w="3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December 31,</w:t>
            </w:r>
          </w:p>
        </w:tc>
      </w:tr>
      <w:tr>
        <w:trPr/>
        <w:tc>
          <w:tcPr>
            <w:tcW w:w="337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33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7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83,157</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32,454</w:t>
            </w:r>
          </w:p>
        </w:tc>
      </w:tr>
      <w:tr>
        <w:trPr/>
        <w:tc>
          <w:tcPr>
            <w:tcW w:w="33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9,520,000</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73"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9,520,000</w:t>
            </w:r>
          </w:p>
        </w:tc>
      </w:tr>
      <w:tr>
        <w:trPr/>
        <w:tc>
          <w:tcPr>
            <w:tcW w:w="33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 held for sale</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9,603,157</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7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9,552,454</w:t>
            </w:r>
          </w:p>
        </w:tc>
      </w:tr>
      <w:tr>
        <w:trPr/>
        <w:tc>
          <w:tcPr>
            <w:tcW w:w="33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7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39,833</w:t>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7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90,019</w:t>
            </w:r>
          </w:p>
        </w:tc>
      </w:tr>
      <w:tr>
        <w:trPr/>
        <w:tc>
          <w:tcPr>
            <w:tcW w:w="33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debt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1,238,101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107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7,386,235</w:t>
            </w:r>
          </w:p>
        </w:tc>
      </w:tr>
      <w:tr>
        <w:trPr/>
        <w:tc>
          <w:tcPr>
            <w:tcW w:w="33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debt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6,148,134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73"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3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Liabilities held for sale</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7,426,068</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7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7,476,254</w:t>
            </w:r>
          </w:p>
        </w:tc>
      </w:tr>
    </w:tbl>
    <w:tbl>
      <w:tblPr>
        <w:tblW w:w="6228" w:type="dxa"/>
        <w:jc w:val="left"/>
        <w:tblInd w:w="0" w:type="dxa"/>
        <w:tblLayout w:type="fixed"/>
        <w:tblCellMar>
          <w:top w:w="0" w:type="dxa"/>
          <w:left w:w="0" w:type="dxa"/>
          <w:bottom w:w="0" w:type="dxa"/>
          <w:right w:w="0" w:type="dxa"/>
        </w:tblCellMar>
      </w:tblPr>
      <w:tblGrid>
        <w:gridCol w:w="3166"/>
        <w:gridCol w:w="109"/>
        <w:gridCol w:w="109"/>
        <w:gridCol w:w="109"/>
        <w:gridCol w:w="109"/>
        <w:gridCol w:w="109"/>
        <w:gridCol w:w="109"/>
        <w:gridCol w:w="211"/>
        <w:gridCol w:w="901"/>
        <w:gridCol w:w="109"/>
        <w:gridCol w:w="211"/>
        <w:gridCol w:w="976"/>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Six months ended June 30,</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r>
      <w:tr>
        <w:trPr/>
        <w:tc>
          <w:tcPr>
            <w:tcW w:w="31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Long-lived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1,218,866</w:t>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(100,889)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426,224</w:t>
            </w:r>
          </w:p>
        </w:tc>
      </w:tr>
      <w:tr>
        <w:trPr/>
        <w:tc>
          <w:tcPr>
            <w:tcW w:w="31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asset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3,019,688</w:t>
            </w:r>
          </w:p>
        </w:tc>
      </w:tr>
      <w:tr>
        <w:trPr/>
        <w:tc>
          <w:tcPr>
            <w:tcW w:w="31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term debt</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(32,194)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tbl>
      <w:tblPr>
        <w:tblW w:w="7618" w:type="dxa"/>
        <w:jc w:val="left"/>
        <w:tblInd w:w="0" w:type="dxa"/>
        <w:tblLayout w:type="fixed"/>
        <w:tblCellMar>
          <w:top w:w="0" w:type="dxa"/>
          <w:left w:w="0" w:type="dxa"/>
          <w:bottom w:w="0" w:type="dxa"/>
          <w:right w:w="0" w:type="dxa"/>
        </w:tblCellMar>
      </w:tblPr>
      <w:tblGrid>
        <w:gridCol w:w="2416"/>
        <w:gridCol w:w="218"/>
        <w:gridCol w:w="931"/>
        <w:gridCol w:w="112"/>
        <w:gridCol w:w="218"/>
        <w:gridCol w:w="1086"/>
        <w:gridCol w:w="109"/>
        <w:gridCol w:w="211"/>
        <w:gridCol w:w="901"/>
        <w:gridCol w:w="109"/>
        <w:gridCol w:w="211"/>
        <w:gridCol w:w="1096"/>
      </w:tblGrid>
      <w:tr>
        <w:trPr/>
        <w:tc>
          <w:tcPr>
            <w:tcW w:w="24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283"/>
              <w:jc w:val="left"/>
              <w:rPr>
                <w:sz w:val="4"/>
                <w:szCs w:val="4"/>
              </w:rPr>
            </w:pPr>
            <w:r>
              <w:rPr>
                <w:sz w:val="4"/>
                <w:szCs w:val="4"/>
              </w:rPr>
            </w:r>
          </w:p>
        </w:tc>
        <w:tc>
          <w:tcPr>
            <w:tcW w:w="2565"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528" w:type="dxa"/>
            <w:gridSpan w:val="5"/>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Six months ended June 30,</w:t>
            </w:r>
          </w:p>
        </w:tc>
      </w:tr>
      <w:tr>
        <w:trPr/>
        <w:tc>
          <w:tcPr>
            <w:tcW w:w="2416"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1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2025</w:t>
            </w:r>
          </w:p>
        </w:tc>
      </w:tr>
      <w:tr>
        <w:trPr/>
        <w:tc>
          <w:tcPr>
            <w:tcW w:w="241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21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w:t>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151,182</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10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556,880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280,750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1,149,610</w:t>
            </w:r>
          </w:p>
        </w:tc>
      </w:tr>
      <w:tr>
        <w:trPr/>
        <w:tc>
          <w:tcPr>
            <w:tcW w:w="241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Long-lived impairment, net</w:t>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1,525,752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1,218,866</w:t>
            </w:r>
          </w:p>
        </w:tc>
      </w:tr>
      <w:tr>
        <w:trPr/>
        <w:tc>
          <w:tcPr>
            <w:tcW w:w="24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2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(151,182)</w:t>
            </w:r>
          </w:p>
        </w:tc>
        <w:tc>
          <w:tcPr>
            <w:tcW w:w="1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(2,082,632)</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(280,750)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(2,368,476)</w:t>
            </w:r>
          </w:p>
        </w:tc>
      </w:tr>
      <w:tr>
        <w:trPr/>
        <w:tc>
          <w:tcPr>
            <w:tcW w:w="241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w:t>
            </w:r>
          </w:p>
        </w:tc>
        <w:tc>
          <w:tcPr>
            <w:tcW w:w="21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(147,320)</w:t>
            </w:r>
          </w:p>
        </w:tc>
        <w:tc>
          <w:tcPr>
            <w:tcW w:w="11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(90,585)</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(293,021)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(241,538)</w:t>
            </w:r>
          </w:p>
        </w:tc>
      </w:tr>
      <w:tr>
        <w:trPr/>
        <w:tc>
          <w:tcPr>
            <w:tcW w:w="24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Loss from discontinued ops</w:t>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(298,502)</w:t>
            </w:r>
          </w:p>
        </w:tc>
        <w:tc>
          <w:tcPr>
            <w:tcW w:w="11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(2,173,217)</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(573,771)</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(2,610,014)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 Prepaid and Other Current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Major classifications of prepaid and other current assets are summarized as follows:</w:t>
      </w:r>
    </w:p>
    <w:tbl>
      <w:tblPr>
        <w:tblW w:w="7085" w:type="dxa"/>
        <w:jc w:val="left"/>
        <w:tblInd w:w="0" w:type="dxa"/>
        <w:tblLayout w:type="fixed"/>
        <w:tblCellMar>
          <w:top w:w="0" w:type="dxa"/>
          <w:left w:w="0" w:type="dxa"/>
          <w:bottom w:w="0" w:type="dxa"/>
          <w:right w:w="0" w:type="dxa"/>
        </w:tblCellMar>
      </w:tblPr>
      <w:tblGrid>
        <w:gridCol w:w="3931"/>
        <w:gridCol w:w="271"/>
        <w:gridCol w:w="1004"/>
        <w:gridCol w:w="109"/>
        <w:gridCol w:w="360"/>
        <w:gridCol w:w="1410"/>
      </w:tblGrid>
      <w:tr>
        <w:trPr/>
        <w:tc>
          <w:tcPr>
            <w:tcW w:w="3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393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December 31, 2025</w:t>
            </w:r>
          </w:p>
        </w:tc>
      </w:tr>
      <w:tr>
        <w:trPr/>
        <w:tc>
          <w:tcPr>
            <w:tcW w:w="393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Receivables</w:t>
            </w:r>
          </w:p>
        </w:tc>
        <w:tc>
          <w:tcPr>
            <w:tcW w:w="27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4"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100,000</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10" w:type="dxa"/>
            <w:tcBorders>
              <w:top w:val="single" w:sz="8" w:space="0" w:color="000000"/>
            </w:tcBorders>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9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insurance</w:t>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30,432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shd w:fill="CCEEFF" w:val="clear"/>
            <w:vAlign w:val="center"/>
          </w:tcPr>
          <w:p>
            <w:pPr>
              <w:pStyle w:val="TableContents"/>
              <w:bidi w:val="0"/>
              <w:spacing w:before="0" w:after="283"/>
              <w:jc w:val="left"/>
              <w:rPr>
                <w:sz w:val="4"/>
                <w:szCs w:val="4"/>
              </w:rPr>
            </w:pPr>
            <w:r>
              <w:rPr>
                <w:sz w:val="4"/>
                <w:szCs w:val="4"/>
              </w:rPr>
            </w:r>
          </w:p>
        </w:tc>
        <w:tc>
          <w:tcPr>
            <w:tcW w:w="14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172,032</w:t>
            </w:r>
          </w:p>
        </w:tc>
      </w:tr>
      <w:tr>
        <w:trPr/>
        <w:tc>
          <w:tcPr>
            <w:tcW w:w="393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Other</w:t>
            </w:r>
          </w:p>
        </w:tc>
        <w:tc>
          <w:tcPr>
            <w:tcW w:w="2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78,229</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94,830</w:t>
            </w:r>
          </w:p>
        </w:tc>
      </w:tr>
      <w:tr>
        <w:trPr/>
        <w:tc>
          <w:tcPr>
            <w:tcW w:w="3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prepaid expenses and other current assets</w:t>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208,661</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1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266,862</w:t>
            </w:r>
          </w:p>
        </w:tc>
      </w:tr>
    </w:tbl>
    <w:p>
      <w:pPr>
        <w:pStyle w:val="TextBody"/>
        <w:bidi w:val="0"/>
        <w:spacing w:lineRule="auto" w:line="259"/>
        <w:rPr>
          <w:rFonts w:ascii="Times New Roman;serif" w:hAnsi="Times New Roman;serif"/>
          <w:b/>
          <w:i w:val="false"/>
          <w:caps w:val="false"/>
          <w:smallCaps w:val="false"/>
          <w:sz w:val="20"/>
        </w:rPr>
      </w:pPr>
      <w:bookmarkStart w:id="21" w:name="Section17"/>
      <w:bookmarkEnd w:id="21"/>
      <w:r>
        <w:rPr>
          <w:rFonts w:ascii="Times New Roman;serif" w:hAnsi="Times New Roman;serif"/>
          <w:b/>
          <w:i w:val="false"/>
          <w:caps w:val="false"/>
          <w:smallCaps w:val="false"/>
          <w:sz w:val="20"/>
        </w:rPr>
        <w:t>7. Debt</w:t>
      </w:r>
    </w:p>
    <w:tbl>
      <w:tblPr>
        <w:tblW w:w="8529" w:type="dxa"/>
        <w:jc w:val="left"/>
        <w:tblInd w:w="0" w:type="dxa"/>
        <w:tblLayout w:type="fixed"/>
        <w:tblCellMar>
          <w:top w:w="0" w:type="dxa"/>
          <w:left w:w="0" w:type="dxa"/>
          <w:bottom w:w="0" w:type="dxa"/>
          <w:right w:w="0" w:type="dxa"/>
        </w:tblCellMar>
      </w:tblPr>
      <w:tblGrid>
        <w:gridCol w:w="2296"/>
        <w:gridCol w:w="109"/>
        <w:gridCol w:w="751"/>
        <w:gridCol w:w="109"/>
        <w:gridCol w:w="1021"/>
        <w:gridCol w:w="109"/>
        <w:gridCol w:w="871"/>
        <w:gridCol w:w="109"/>
        <w:gridCol w:w="483"/>
        <w:gridCol w:w="792"/>
        <w:gridCol w:w="109"/>
        <w:gridCol w:w="314"/>
        <w:gridCol w:w="1456"/>
      </w:tblGrid>
      <w:tr>
        <w:trPr/>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Interest</w:t>
              <w:br/>
              <w:t>‎rate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Monthly</w:t>
              <w:br/>
              <w:t>‎repayment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Maturity</w:t>
              <w:br/>
              <w:t>‎date</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December 31, 2025</w:t>
            </w:r>
          </w:p>
        </w:tc>
      </w:tr>
      <w:tr>
        <w:trPr/>
        <w:tc>
          <w:tcPr>
            <w:tcW w:w="229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Senior Notes</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 2027</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2"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4,124,000</w:t>
            </w:r>
          </w:p>
        </w:tc>
      </w:tr>
      <w:tr>
        <w:trPr/>
        <w:tc>
          <w:tcPr>
            <w:tcW w:w="22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loan origination costs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(637,859)</w:t>
            </w:r>
          </w:p>
        </w:tc>
      </w:tr>
      <w:tr>
        <w:trPr/>
        <w:tc>
          <w:tcPr>
            <w:tcW w:w="229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current portion</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4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2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debt, net</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5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3,486,141</w:t>
            </w:r>
          </w:p>
        </w:tc>
      </w:tr>
    </w:tbl>
    <w:p>
      <w:pPr>
        <w:pStyle w:val="TextBody"/>
        <w:shd w:fill="FFFFFF" w:val="clear"/>
        <w:bidi w:val="0"/>
        <w:spacing w:lineRule="auto" w:line="259"/>
        <w:ind w:left="360" w:right="0"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Senior Notes</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October 28, 2025, the Company entered into Note Purchase Agreements with certain investors providing for the issuance and sale of senior notes (“Senior Notes”) in an aggregate principal amount of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a private placement transaction. The Senior Notes were unsecured, nonconvertible, bore interest at 18% per annum, and were scheduled to mature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months from closing. </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On April 7, 2026, the Company entered into securities exchange agreements in a private placement with the holders of the Company’s outstanding Senior Notes, pursuant to which an aggregate of $4.0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million of principal and $316</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thousand of accrued and unpaid interest was exchanged for an aggregate of 236,367</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Series A Convertible preferred stock, par value $0.01</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per share, which are convertible into up to 4,727,340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Common Stock at the option of the holder.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recognized interest expense of $829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and $0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the six months ended June 30, 2026 and 2025, respectively, on its interest-bearing debt. </w:t>
      </w:r>
    </w:p>
    <w:p>
      <w:pPr>
        <w:pStyle w:val="TextBody"/>
        <w:bidi w:val="0"/>
        <w:spacing w:lineRule="auto" w:line="259"/>
        <w:rPr>
          <w:rFonts w:ascii="Times New Roman;serif" w:hAnsi="Times New Roman;serif"/>
          <w:b/>
          <w:i w:val="false"/>
          <w:caps w:val="false"/>
          <w:smallCaps w:val="false"/>
          <w:sz w:val="20"/>
        </w:rPr>
      </w:pPr>
      <w:bookmarkStart w:id="22" w:name="Section19"/>
      <w:bookmarkStart w:id="23" w:name="Section18"/>
      <w:bookmarkEnd w:id="22"/>
      <w:bookmarkEnd w:id="23"/>
      <w:r>
        <w:rPr>
          <w:rFonts w:ascii="Times New Roman;serif" w:hAnsi="Times New Roman;serif"/>
          <w:b/>
          <w:i w:val="false"/>
          <w:caps w:val="false"/>
          <w:smallCaps w:val="false"/>
          <w:sz w:val="20"/>
        </w:rPr>
        <w:t>8. Stockholders’ Equity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stockholders have authorized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shares of stock, of which 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are authorized as preferred stock and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common stock.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Issuances of Preferred Stock, Common Stock, and Warrants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February 11, 2026, the Company completed an equity transaction with certain investors, pursuant to which the Company sold an aggregate of 1,269,509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its Common Stock and pre-funded warrants to purchase an aggregate of 67,706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for gross proceeds of $1.15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warrants can be converted to Common Stock at the option of the holder and there is no expiration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On April 7, 2026, the Company entered into securities exchange agreements in a private placement with the holders of the Company’s outstanding Senior Notes, pursuant to which an aggregate of $4.0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million of principal and $316</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thousand of accrued and unpaid interest was exchanged for an aggregate of 236,367</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Series A Convertible preferred stock, par value $0.01</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per share (“Series A PS”). The transaction also included the issuance of 27,386</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Series A PS to a certain investor for gross proceeds of $500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thousand. The Series A PS issued in the transaction are convertible into up to 5,275,060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Common Stock at the option of the holders.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On June 25, 2026, the Company entered into securities purchase agreements with certain purchasers, pursuant to which the Company issued and sold 109,223</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Series B Convertible Preferred Stock, par value $0.01</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per share (“Series B PS) for gross proceeds of $2.25</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million. The Series B PS are convertible into up to 2,184,460</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shares of the Company’s Common Stock, at the option of the holders.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Preferred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There are a total of 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preferred stock authorized, with 400,000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designated as Series A Convertible Preferred Stock and 200,000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designated as Series B Convertible Preferred Stock. The shares of both series of preferred stock rank senior to the Company’s Common Stock and have the additional characteristics set below.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Dividends – Dividends accrue on each share of preferred stock at the rate of 18.0% per annum on a quarterly basis in arrears, calculated on the liquidation value. Dividends are payable in cash when declared on a bi-annual schedule and the Company’s Board of Directors (“Board”) may permit dividends to accumulate rather than be paid out.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Conversion – Each share of preferred stock is convertible at any time at the holder’s election into shares of Common Stock based on the applicable conversion price, as adjusted, which conversion price is determined based on the liquidation value.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addition, subject to compliance with applicable exchange rules, the Board may elect to convert accrued and unpaid dividends into shares of Common Stock.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Liquidation Preference – Upon any liquidation, dissolution or winding up, preferred stockholders are entitled to receive, before any distribution to junior securities, at the holder’s election, either cash or non-cash consideration valued at fair market value as determined by the Board in good faith, in each case equal to the aggregate liquidation value plus all unpaid accrued and accumulating dividends.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Voting – Each share of preferred stock votes together with the Common Stock as a single class on all matters submitted to stockholders, with each share having a number of votes equal to the number of shares of Common Stock into which it is then convertible.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June 30, 2026, the Company’s outstanding preferred stock consists of the following:</w:t>
      </w:r>
    </w:p>
    <w:tbl>
      <w:tblPr>
        <w:tblW w:w="10205" w:type="dxa"/>
        <w:jc w:val="left"/>
        <w:tblInd w:w="0" w:type="dxa"/>
        <w:tblLayout w:type="fixed"/>
        <w:tblCellMar>
          <w:top w:w="0" w:type="dxa"/>
          <w:left w:w="0" w:type="dxa"/>
          <w:bottom w:w="0" w:type="dxa"/>
          <w:right w:w="0" w:type="dxa"/>
        </w:tblCellMar>
      </w:tblPr>
      <w:tblGrid>
        <w:gridCol w:w="1357"/>
        <w:gridCol w:w="1312"/>
        <w:gridCol w:w="109"/>
        <w:gridCol w:w="170"/>
        <w:gridCol w:w="1231"/>
        <w:gridCol w:w="109"/>
        <w:gridCol w:w="306"/>
        <w:gridCol w:w="984"/>
        <w:gridCol w:w="109"/>
        <w:gridCol w:w="168"/>
        <w:gridCol w:w="1436"/>
        <w:gridCol w:w="109"/>
        <w:gridCol w:w="250"/>
        <w:gridCol w:w="1106"/>
        <w:gridCol w:w="109"/>
        <w:gridCol w:w="271"/>
        <w:gridCol w:w="1069"/>
      </w:tblGrid>
      <w:tr>
        <w:trPr/>
        <w:tc>
          <w:tcPr>
            <w:tcW w:w="135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1357" w:type="dxa"/>
            <w:tcBorders/>
            <w:vAlign w:val="center"/>
          </w:tcPr>
          <w:p>
            <w:pPr>
              <w:pStyle w:val="TableContents"/>
              <w:bidi w:val="0"/>
              <w:spacing w:before="0" w:after="283"/>
              <w:jc w:val="left"/>
              <w:rPr>
                <w:sz w:val="4"/>
                <w:szCs w:val="4"/>
              </w:rPr>
            </w:pPr>
            <w:r>
              <w:rPr>
                <w:sz w:val="4"/>
                <w:szCs w:val="4"/>
              </w:rPr>
            </w:r>
          </w:p>
        </w:tc>
        <w:tc>
          <w:tcPr>
            <w:tcW w:w="13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14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Conversion Price</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 Equivalent</w:t>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Liquidation Value</w:t>
            </w:r>
          </w:p>
        </w:tc>
        <w:tc>
          <w:tcPr>
            <w:tcW w:w="109" w:type="dxa"/>
            <w:tcBorders/>
            <w:vAlign w:val="center"/>
          </w:tcPr>
          <w:p>
            <w:pPr>
              <w:pStyle w:val="TableContents"/>
              <w:bidi w:val="0"/>
              <w:spacing w:before="0" w:after="283"/>
              <w:jc w:val="left"/>
              <w:rPr>
                <w:sz w:val="4"/>
                <w:szCs w:val="4"/>
              </w:rPr>
            </w:pPr>
            <w:r>
              <w:rPr>
                <w:sz w:val="4"/>
                <w:szCs w:val="4"/>
              </w:rPr>
            </w:r>
          </w:p>
        </w:tc>
        <w:tc>
          <w:tcPr>
            <w:tcW w:w="13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Accrued Dividends</w:t>
            </w:r>
          </w:p>
        </w:tc>
      </w:tr>
      <w:tr>
        <w:trPr/>
        <w:tc>
          <w:tcPr>
            <w:tcW w:w="135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Series A Preferred Stock</w:t>
            </w:r>
          </w:p>
        </w:tc>
        <w:tc>
          <w:tcPr>
            <w:tcW w:w="13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263,753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8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0.9129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5,275,060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4,815,616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199,485</w:t>
            </w:r>
          </w:p>
        </w:tc>
      </w:tr>
      <w:tr>
        <w:trPr/>
        <w:tc>
          <w:tcPr>
            <w:tcW w:w="135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Series B Preferred Stock</w:t>
            </w:r>
          </w:p>
        </w:tc>
        <w:tc>
          <w:tcPr>
            <w:tcW w:w="131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109,223</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8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1.0300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2,184,460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2,250,000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9"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5,548</w:t>
            </w:r>
          </w:p>
        </w:tc>
      </w:tr>
      <w:tr>
        <w:trPr/>
        <w:tc>
          <w:tcPr>
            <w:tcW w:w="135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at June 30, 2026</w:t>
            </w:r>
          </w:p>
        </w:tc>
        <w:tc>
          <w:tcPr>
            <w:tcW w:w="131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600,000</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372,976</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7,459,520</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7,065,616</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205,033</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Share-based compensation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June 30, 2026, the Company has reserved 37,594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issuable upon the exercise of outstanding stock options and unvested stock awards, respectively, under its 2016 Equity Incentive Plan.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are reserved for future equity awards under the 2016 Equity Incentive Plan.</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Unvested Stock Awards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six months ended June 30, 2026 and 2025, the Company expensed $0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thousand, respectively, related to the stock awards.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option activity is summarized as follows:</w:t>
      </w:r>
    </w:p>
    <w:tbl>
      <w:tblPr>
        <w:tblW w:w="5421" w:type="dxa"/>
        <w:jc w:val="left"/>
        <w:tblInd w:w="0" w:type="dxa"/>
        <w:tblLayout w:type="fixed"/>
        <w:tblCellMar>
          <w:top w:w="0" w:type="dxa"/>
          <w:left w:w="0" w:type="dxa"/>
          <w:bottom w:w="0" w:type="dxa"/>
          <w:right w:w="0" w:type="dxa"/>
        </w:tblCellMar>
      </w:tblPr>
      <w:tblGrid>
        <w:gridCol w:w="2941"/>
        <w:gridCol w:w="1051"/>
        <w:gridCol w:w="109"/>
        <w:gridCol w:w="336"/>
        <w:gridCol w:w="984"/>
      </w:tblGrid>
      <w:tr>
        <w:trPr/>
        <w:tc>
          <w:tcPr>
            <w:tcW w:w="29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Number of </w:t>
              <w:br/>
              <w:t>‎options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br/>
              <w:t>‎average</w:t>
              <w:br/>
              <w:t>‎exercise price</w:t>
            </w:r>
          </w:p>
        </w:tc>
      </w:tr>
      <w:tr>
        <w:trPr/>
        <w:tc>
          <w:tcPr>
            <w:tcW w:w="29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at December 31, 2025</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38,919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8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42.95</w:t>
            </w:r>
          </w:p>
        </w:tc>
      </w:tr>
      <w:tr>
        <w:trPr/>
        <w:tc>
          <w:tcPr>
            <w:tcW w:w="294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Expired</w:t>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(1,325)</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3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83.08</w:t>
            </w:r>
          </w:p>
        </w:tc>
      </w:tr>
      <w:tr>
        <w:trPr/>
        <w:tc>
          <w:tcPr>
            <w:tcW w:w="29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at June 30, 2026</w:t>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37,594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8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41.53</w:t>
            </w:r>
          </w:p>
        </w:tc>
      </w:tr>
      <w:tr>
        <w:trPr/>
        <w:tc>
          <w:tcPr>
            <w:tcW w:w="29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Exercisable at June 30, 2026</w:t>
            </w:r>
          </w:p>
        </w:tc>
        <w:tc>
          <w:tcPr>
            <w:tcW w:w="10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37,594</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8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41.53</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Unless otherwise indicated, options issued to employees, members of the Board, and non-employees generally vest over a period of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three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are exercisable for a term of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from the date of issuance.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options granted during the six months ended June 30,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There was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intrinsic value for options outstanding or exercisable at June 30, 2026 and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information about options outstanding and exercisable at June 30, 2026:</w:t>
      </w:r>
    </w:p>
    <w:tbl>
      <w:tblPr>
        <w:tblW w:w="6170" w:type="dxa"/>
        <w:jc w:val="left"/>
        <w:tblInd w:w="0" w:type="dxa"/>
        <w:tblLayout w:type="fixed"/>
        <w:tblCellMar>
          <w:top w:w="0" w:type="dxa"/>
          <w:left w:w="0" w:type="dxa"/>
          <w:bottom w:w="0" w:type="dxa"/>
          <w:right w:w="0" w:type="dxa"/>
        </w:tblCellMar>
      </w:tblPr>
      <w:tblGrid>
        <w:gridCol w:w="1801"/>
        <w:gridCol w:w="109"/>
        <w:gridCol w:w="1096"/>
        <w:gridCol w:w="109"/>
        <w:gridCol w:w="1726"/>
        <w:gridCol w:w="109"/>
        <w:gridCol w:w="1066"/>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br/>
              <w:t>‎average exercise</w:t>
              <w:br/>
              <w:t>‎price of outstanding</w:t>
              <w:br/>
              <w:t>‎options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br/>
              <w:t>‎options</w:t>
              <w:br/>
              <w:t>‎outstanding</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br/>
              <w:t>‎average remaining</w:t>
              <w:br/>
              <w:t>‎estimated life</w:t>
              <w:br/>
              <w:t>‎(in years)</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br/>
              <w:t>‎options</w:t>
              <w:br/>
              <w:t>‎exercisable</w:t>
            </w:r>
          </w:p>
        </w:tc>
        <w:tc>
          <w:tcPr>
            <w:tcW w:w="1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&lt; $10.00</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13,673</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13,673</w:t>
            </w:r>
          </w:p>
        </w:tc>
        <w:tc>
          <w:tcPr>
            <w:tcW w:w="1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$50.00</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21,440</w:t>
            </w:r>
          </w:p>
        </w:tc>
        <w:tc>
          <w:tcPr>
            <w:tcW w:w="1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931</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18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$300.00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0.8</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1,550</w:t>
            </w:r>
          </w:p>
        </w:tc>
        <w:tc>
          <w:tcPr>
            <w:tcW w:w="1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37,594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37,594</w:t>
            </w:r>
          </w:p>
        </w:tc>
        <w:tc>
          <w:tcPr>
            <w:tcW w:w="1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Total share-based compensation on stock-option grants amounted to $5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and $24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thousand for the six months ended June 30, 2026 and 2025, respectively. At June 30, 2026, the balance of unearned share-based compensation to be expensed in future periods related to unvested share-based awards was $0. </w:t>
      </w:r>
      <w:bookmarkStart w:id="24" w:name="Section20"/>
      <w:bookmarkEnd w:id="2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 Commitments and Contingencies</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is subject to legal proceedings and claims arising in the normal course of business. Management believes that final disposition of any such matters existing at June 30, 2026, will not have a material adverse effect on the Company’s financial position or results of operations.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Lease commitments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lease right of use assets and obligations as of June 30, 2026 and 2025 were $8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and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respectively and there was 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remaining on its lease commitment. Operating lease expenses for the six months ended June 30, 2026 and 2025 were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thousand each.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 Segment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adopted ASU 2023-07 effective for the annual period beginning January 1, 2024.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financial information presented to and reviewed by the Company’s chief operating decision maker, who is the interim chief executive officer, chief financial officer and treasurer, is not prepared in accordance with GAAP, therefore certain accounting policies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of the Company’s single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operating and reportable segment differ significantly from those described in the Company’s 2025 Annual Report on Form 10-K, which was filed on March 31, 2026. Since the Company operates as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operating segment, all required significant financial segment information can be found in the condensed consolidated financial statements. There are no other significant segment expenses that would require disclosure. The measure of segment assets is reported on the condensed consolidated balance sheets as total consolidated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monitors the financial results for internal purposes using consolidated net loss (income) and net cash expenditures, as these are the key performance measures used for evaluating the business. The chief operating decision maker uses these measures on a monthly basis when assessing performance and when making decisions about how to allocate operating resources, such as payments to vendors.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 Income Taxes</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The Company reported a net loss for the six months ended June 30, 2026, and is forecasting losses through the remainder of the year, resulting in an estimated net loss for both financial statement and tax purposes for the year ending December 31, 2026. Therefore,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federal or state income taxes are expected and none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have been recorded at this time. Income taxes have been accounted for using the liability method.</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pStyle w:val="TextBody"/>
        <w:shd w:fill="FFFFFF" w:val="clear"/>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As of June 30, 2026, the Company had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unrecognized income tax benefits that would reduce the Company’s effective tax rate if recognized.</w:t>
      </w:r>
      <w:r>
        <w:rPr>
          <w:rFonts w:ascii="Times New Roman;serif" w:hAnsi="Times New Roman;serif"/>
          <w:caps w:val="false"/>
          <w:smallCaps w:val="false"/>
          <w:color w:val="000000"/>
          <w:sz w:val="20"/>
        </w:rPr>
        <w:t> </w:t>
      </w:r>
    </w:p>
    <w:p>
      <w:pPr>
        <w:pStyle w:val="TextBody"/>
        <w:bidi w:val="0"/>
        <w:spacing w:lineRule="auto" w:line="259"/>
        <w:rPr>
          <w:rFonts w:ascii="Times New Roman;serif" w:hAnsi="Times New Roman;serif"/>
          <w:b w:val="false"/>
          <w:i w:val="false"/>
          <w:caps w:val="false"/>
          <w:smallCaps w:val="false"/>
          <w:sz w:val="20"/>
        </w:rPr>
      </w:pPr>
      <w:bookmarkStart w:id="25" w:name="Section21"/>
      <w:bookmarkEnd w:id="25"/>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2.  Management’s Discussion and Analysis of Financial Condition and Results of Operations</w:t>
      </w:r>
      <w:bookmarkStart w:id="26" w:name="Section22"/>
      <w:bookmarkEnd w:id="2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“Management’s Discussion and Analysis of Financial Condition and Results of Operations” should be read in conjunction with the unaudited financial information and the notes thereto included in this Quarterly Report on Form 10-Q and our Annual Report on Form 10-K for the year ended December 31, 2025, which was filed on March 31, 2026.</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AquaBounty has historically pursued a growth strategy that included the construction of large-scale RAS farms for producing our GE Atlantic salmon. We had commenced construction of our 10,000 metric ton Ohio Farm Project, but paused the construction in June 2023, as the cost estimate to complete the farm continued to substantially increase due to inflation and other factors. Further, these cost increases impaired our ability to pursue municipal bond financing, which was a necessary component of our funding strategy. We subsequently engaged an investment bank to pursue a range of funding and strategic alternatives and to assist management in the prioritization of our core assets. These efforts resulted in the sale of our Indiana Farm in July 2024, recurring sales throughout 2024 and 2025 of selected Ohio Equipment Assets originally intended for the Ohio Farm Project, and the sale of our Canadian Farms, and our Corporate IP in March 2025. After completion of these transactions, our primary remaining asset is our investment in the Ohio Farm Project, consisting of the remaining Ohio Equipment Assets and the Ohio Farm Site.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been engaged in efforts to monetize the Ohio Farm Project through discussions with parties in the aquaculture industry. While those discussions remain ongoing, evolving market conditions have led us to broaden our evaluation of strategic alternatives to maximize shareholder value. The Ohio Farm Site possesses a unique combination of infrastructure assets that we believe may be attractive to participants in the rapidly expanding power generation and digital infrastructure sectors. As part of an expanded strategic review, we intend to engage with developers, utilities, independent power producers, infrastructure investors, and other strategic partners regarding a range of potential transactions. These may include an outright sale of the property, joint development arrangements, long-term leasing opportunities, or other structures that could realize the value of the Ohio Farm Site's infrastructure assets. We will also evaluate opportunities to participate more directly in infrastructure or energy development where doing so could enhance long-term shareholder value.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Discontinued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noted above, we sold our Indiana Farm in July 2024, our Canadian Farms in March 2025, and in 2024 and 2025 we sold Ohio Equipment Assets to generate liquidity. In conjunction with the work that our investment bank has done to help us realize the value of our Ohio Farm Project, we received a non-binding Letter of Interest to purchase our Ohio subsidiary. Though this offer is currently being considered by the Company, we determined the actions in 2025 that contributed to receiving the non-binding Letter of Interest to be a triggering event for revaluing these assets and we designated the Ohio Farm Project as a discontinued operation, along with the Indiana Farm and the Canadian Farms in our condensed consolidated financial statements for the periods included in this Form 10-Q (see Note 5 to our condensed consolidated financial statements for additional information).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Overview</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exit from our fish rearing operations, we have significantly reduced our headcount and on-going operating costs. We maintain a small core group of corporate individuals to oversee our strategic options, our asset sale transactions and our books and records. As of June 30, 2026, we had an accumulated deficit of $391 million and $1.9 million in cash on our condensed consolidated balance sheet. We require new funding to provide liquidity for working capital and to fund our evolving strategic plan. Consequently, our ability to continue as a going concern is dependent upon our ability to raise additional capital, and there can be no assurance that such capital will be available in sufficient amounts, on a timely basis, on acceptable terms, or at all.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February 11, 2026, we completed an equity transaction with certain investors, pursuant to which we sold an aggregate of 1,269,509 shares of our Common Stock and pre-funded warrants to purchase an aggregate of 67,706 shares of Common Stock for gross proceeds of $1.15 million. </w:t>
      </w:r>
    </w:p>
    <w:p>
      <w:pPr>
        <w:pStyle w:val="TextBody"/>
        <w:shd w:fill="FFFFFF" w:val="clear"/>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0"/>
          <w:shd w:fill="FFFFFF" w:val="clear"/>
        </w:rPr>
        <w:t>On April 7, 2026, we entered into securities exchange agreements in a private placement with the holders of our outstanding Senior Notes, pursuant to which an aggregate of $4.0 million of principal and $316 thousand of accrued and unpaid interest was exchanged for an aggregate of 236,367 shares of our Series A Convertible preferred stock, par value $0.01 per share (“Series A PS”). The transaction also included the issuance of 27,386 shares of Preferred Stock to a certain investor for gross proceeds of $500 thousand.</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color w:val="000000"/>
          <w:sz w:val="20"/>
          <w:shd w:fill="FFFFFF" w:val="clear"/>
        </w:rPr>
        <w:t>The Series A PS issued in the transaction are convertible into up to 5,275,060 shares of our Common Stock at the option of the holders</w:t>
      </w:r>
    </w:p>
    <w:p>
      <w:pPr>
        <w:pStyle w:val="TextBody"/>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On June 25, 2026, we entered into securities purchase agreements with certain purchasers, pursuant to which we issued and sold 109,223 shares of our Series B Convertible Preferred Stock, par value $0.01 per share (“Series B PS”) for gross proceeds of $2.25 million. The Series B PS are convertible into up to 2,184,460 shares of our Common Stock at the option of the holders.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Sales and Marketing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sales and marketing expenses have historically included agency fees for investor-related activities. With the sale of our Canadian Farms and the corresponding cessation of our salmon rearing activities in March 2025, we no longer have sales and marketing expenses.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 expenses consist primarily of salaries and related costs for employees in executive, corporate, and finance functions. Other significant general and administrative expenses include corporate governance and public company costs, rent and utilities, insurance, and legal services. We expect our general and administrative expenses to remain stable until a new strategic direction of the Company is selected.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Income (Expense), Net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 includes the interest on our loans for our continuing operations. Loan forgiveness relates to the termination of an outstanding loan. Other expense, net includes bank charges, fees, and interest income.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Loss from Discontinued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Discontinued Operations includes all remaining operating costs for our Ohio Farm Project, our Indiana Farm and our Canadian Farms, including general and administrative expenses, non-cash long-lived asset impairment charges, and interest expense and banking fees.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Comparison of the three months ended June 30, 2026, to the three months ended June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results of operations for the three months ended June 30, 2026 and 2025, together with the changes in those items in dollars and as a percentage (all dollar amounts in thousands):</w:t>
      </w:r>
    </w:p>
    <w:tbl>
      <w:tblPr>
        <w:tblW w:w="6694" w:type="dxa"/>
        <w:jc w:val="left"/>
        <w:tblInd w:w="0" w:type="dxa"/>
        <w:tblLayout w:type="fixed"/>
        <w:tblCellMar>
          <w:top w:w="0" w:type="dxa"/>
          <w:left w:w="0" w:type="dxa"/>
          <w:bottom w:w="0" w:type="dxa"/>
          <w:right w:w="0" w:type="dxa"/>
        </w:tblCellMar>
      </w:tblPr>
      <w:tblGrid>
        <w:gridCol w:w="2926"/>
        <w:gridCol w:w="211"/>
        <w:gridCol w:w="691"/>
        <w:gridCol w:w="109"/>
        <w:gridCol w:w="211"/>
        <w:gridCol w:w="691"/>
        <w:gridCol w:w="109"/>
        <w:gridCol w:w="751"/>
        <w:gridCol w:w="109"/>
        <w:gridCol w:w="886"/>
      </w:tblGrid>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left"/>
              <w:rPr>
                <w:sz w:val="4"/>
                <w:szCs w:val="4"/>
              </w:rPr>
            </w:pPr>
            <w:r>
              <w:rPr>
                <w:sz w:val="4"/>
                <w:szCs w:val="4"/>
              </w:rPr>
            </w:r>
          </w:p>
        </w:tc>
        <w:tc>
          <w:tcPr>
            <w:tcW w:w="191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Dollar</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Costs and expenses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and marketing</w:t>
            </w:r>
          </w:p>
        </w:tc>
        <w:tc>
          <w:tcPr>
            <w:tcW w:w="21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caps w:val="false"/>
                <w:smallCaps w:val="false"/>
              </w:rPr>
            </w:pPr>
            <w:r>
              <w:rPr>
                <w:caps w:val="false"/>
                <w:smallCaps w:val="false"/>
              </w:rPr>
              <w:t>—</w:t>
            </w:r>
            <w:r>
              <w:rPr>
                <w:rFonts w:ascii="Times New Roman;serif" w:hAnsi="Times New Roman;serif"/>
                <w:b w:val="false"/>
                <w:i w:val="false"/>
                <w:caps w:val="false"/>
                <w:smallCaps w:val="false"/>
                <w:sz w:val="20"/>
              </w:rPr>
              <w:t>%</w:t>
            </w:r>
          </w:p>
        </w:tc>
      </w:tr>
      <w:tr>
        <w:trPr/>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799</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1,197</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(398)</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r>
      <w:tr>
        <w:trPr/>
        <w:tc>
          <w:tcPr>
            <w:tcW w:w="29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loss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(799)</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(1,197)</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398</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r>
      <w:tr>
        <w:trPr/>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(533)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(530)</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17,667%</w:t>
            </w:r>
          </w:p>
        </w:tc>
      </w:tr>
      <w:tr>
        <w:trPr/>
        <w:tc>
          <w:tcPr>
            <w:tcW w:w="29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continuing operations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(1,332)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(1,200)</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discontinued operations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(299)</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1,874</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tc>
      </w:tr>
      <w:tr>
        <w:trPr/>
        <w:tc>
          <w:tcPr>
            <w:tcW w:w="29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(1,631)</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(3,373)</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1,742</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Sales and Marketing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sales and marketing expenses for the three months ended June 30, 2026 or 2025, due to the sale of our Indiana Farm and Canadian Farms.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 expenses for the three months ended June 30, 2026, were down from the corresponding period in 2025, primarily due to reductions in personnel costs, legal fees, insurance fees, professional fees, state excise tax liabilities, share-based compensation costs, and Board compensation fees.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Other (Expense)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expense for the three months ended June 30, 2026, is comprised of interest expense and bank charges. Other income for the three months ended June 30, 2025 is comprised of bank charges.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Loss from Discontinued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loss from discontinued operations for the three months ended June 30, 2026, was comprised of general administrative expenses and interest expense. </w:t>
      </w:r>
      <w:r>
        <w:rPr>
          <w:rFonts w:ascii="Times New Roman;serif" w:hAnsi="Times New Roman;serif"/>
          <w:b w:val="false"/>
          <w:i w:val="false"/>
          <w:caps w:val="false"/>
          <w:smallCaps w:val="false"/>
          <w:color w:val="000000"/>
          <w:sz w:val="20"/>
          <w:shd w:fill="FFFFFF" w:val="clear"/>
        </w:rPr>
        <w:t xml:space="preserve">The loss from discontinued operations for the three months ended June 30, 2025 was comprised of a long-lived asset impairment, </w:t>
      </w:r>
      <w:r>
        <w:rPr>
          <w:rFonts w:ascii="Times New Roman;serif" w:hAnsi="Times New Roman;serif"/>
          <w:b w:val="false"/>
          <w:i w:val="false"/>
          <w:caps w:val="false"/>
          <w:smallCaps w:val="false"/>
          <w:sz w:val="20"/>
        </w:rPr>
        <w:t>general and administrative expenses and interest expense and banking fees</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related to the Ohio Farm.</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Comparison of the six months ended June 30, 2026, to the six months ended June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results of operations for the six months ended June 30, 2026 and 2025, together with the changes in those items in dollars and as a percentage (all dollar amounts in thousands):</w:t>
      </w:r>
    </w:p>
    <w:tbl>
      <w:tblPr>
        <w:tblW w:w="6604" w:type="dxa"/>
        <w:jc w:val="left"/>
        <w:tblInd w:w="0" w:type="dxa"/>
        <w:tblLayout w:type="fixed"/>
        <w:tblCellMar>
          <w:top w:w="0" w:type="dxa"/>
          <w:left w:w="0" w:type="dxa"/>
          <w:bottom w:w="0" w:type="dxa"/>
          <w:right w:w="0" w:type="dxa"/>
        </w:tblCellMar>
      </w:tblPr>
      <w:tblGrid>
        <w:gridCol w:w="2926"/>
        <w:gridCol w:w="211"/>
        <w:gridCol w:w="691"/>
        <w:gridCol w:w="109"/>
        <w:gridCol w:w="211"/>
        <w:gridCol w:w="691"/>
        <w:gridCol w:w="109"/>
        <w:gridCol w:w="751"/>
        <w:gridCol w:w="109"/>
        <w:gridCol w:w="796"/>
      </w:tblGrid>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left"/>
              <w:rPr>
                <w:sz w:val="4"/>
                <w:szCs w:val="4"/>
              </w:rPr>
            </w:pPr>
            <w:r>
              <w:rPr>
                <w:sz w:val="4"/>
                <w:szCs w:val="4"/>
              </w:rPr>
            </w:r>
          </w:p>
        </w:tc>
        <w:tc>
          <w:tcPr>
            <w:tcW w:w="191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Dollar</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Costs and expenses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and marketing</w:t>
            </w:r>
          </w:p>
        </w:tc>
        <w:tc>
          <w:tcPr>
            <w:tcW w:w="21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r>
        <w:trPr/>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1,421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(935)</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29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loss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(1,421)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(2,363)</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(expense) income</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r>
      <w:tr>
        <w:trPr/>
        <w:tc>
          <w:tcPr>
            <w:tcW w:w="292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continuing operations</w:t>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(2,257)</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523%</w:t>
            </w:r>
          </w:p>
        </w:tc>
      </w:tr>
      <w:tr>
        <w:trPr/>
        <w:tc>
          <w:tcPr>
            <w:tcW w:w="292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discontinued operations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(574)</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(2,610)</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tc>
      </w:tr>
      <w:tr>
        <w:trPr/>
        <w:tc>
          <w:tcPr>
            <w:tcW w:w="29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(2,831)</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(2,972)</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141</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Sales and Marketing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sales and marketing expenses for the six months ended June 30, 2026, due to the sale of our Indiana Farm and Canadian Farms.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 and administrative expenses for the six months ended June 30, 2026, were down from the corresponding period in 2025, primarily due to reductions in personnel costs, audit fees, legal fees, insurance fees, professional fees, state excise tax liabilities, share-based compensation costs, and Board compensation fees.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Other (Expense)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expense for the six months ended June 30, 2026, is comprised of interest expense and bank charges. Other income for the six months ended June 30, 2025 is comprised of the forgiveness of an outstanding loan and interest income, less interest expense and bank charges.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Loss from Discontinued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loss from discontinued operations for the six months ended June 30, 2026, was comprised of general administrative expenses and interest expense. The loss from discontinued operations for the six months ended June 30, 2025, </w:t>
      </w:r>
      <w:r>
        <w:rPr>
          <w:rFonts w:ascii="Times New Roman;serif" w:hAnsi="Times New Roman;serif"/>
          <w:b w:val="false"/>
          <w:i w:val="false"/>
          <w:caps w:val="false"/>
          <w:smallCaps w:val="false"/>
          <w:color w:val="000000"/>
          <w:sz w:val="20"/>
          <w:shd w:fill="FFFFFF" w:val="clear"/>
        </w:rPr>
        <w:t xml:space="preserve">was comprised of a long-lived asset impairment, </w:t>
      </w:r>
      <w:r>
        <w:rPr>
          <w:rFonts w:ascii="Times New Roman;serif" w:hAnsi="Times New Roman;serif"/>
          <w:b w:val="false"/>
          <w:i w:val="false"/>
          <w:caps w:val="false"/>
          <w:smallCaps w:val="false"/>
          <w:sz w:val="20"/>
        </w:rPr>
        <w:t>general and administrative expenses and interest expense and banking fees</w:t>
      </w:r>
      <w:r>
        <w:rPr>
          <w:rFonts w:ascii="Times New Roman;serif" w:hAnsi="Times New Roman;serif"/>
          <w:caps w:val="false"/>
          <w:smallCaps w:val="false"/>
          <w:color w:val="000000"/>
          <w:sz w:val="20"/>
          <w:shd w:fill="FFFFFF" w:val="clear"/>
        </w:rPr>
        <w:t xml:space="preserve"> </w:t>
      </w:r>
      <w:r>
        <w:rPr>
          <w:rFonts w:ascii="Times New Roman;serif" w:hAnsi="Times New Roman;serif"/>
          <w:b w:val="false"/>
          <w:i w:val="false"/>
          <w:caps w:val="false"/>
          <w:smallCaps w:val="false"/>
          <w:color w:val="000000"/>
          <w:sz w:val="20"/>
          <w:shd w:fill="FFFFFF" w:val="clear"/>
        </w:rPr>
        <w:t>related to the Ohio farm.</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significant sources and uses of cash for the periods set forth below (in thousands):</w:t>
      </w:r>
    </w:p>
    <w:tbl>
      <w:tblPr>
        <w:tblW w:w="7599" w:type="dxa"/>
        <w:jc w:val="left"/>
        <w:tblInd w:w="0" w:type="dxa"/>
        <w:tblLayout w:type="fixed"/>
        <w:tblCellMar>
          <w:top w:w="0" w:type="dxa"/>
          <w:left w:w="0" w:type="dxa"/>
          <w:bottom w:w="0" w:type="dxa"/>
          <w:right w:w="0" w:type="dxa"/>
        </w:tblCellMar>
      </w:tblPr>
      <w:tblGrid>
        <w:gridCol w:w="3346"/>
        <w:gridCol w:w="263"/>
        <w:gridCol w:w="861"/>
        <w:gridCol w:w="135"/>
        <w:gridCol w:w="263"/>
        <w:gridCol w:w="861"/>
        <w:gridCol w:w="109"/>
        <w:gridCol w:w="751"/>
        <w:gridCol w:w="109"/>
        <w:gridCol w:w="901"/>
      </w:tblGrid>
      <w:tr>
        <w:trPr/>
        <w:tc>
          <w:tcPr>
            <w:tcW w:w="33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2383"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Dollar</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provided by:</w:t>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263"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6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(2,346)</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33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4,632</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(4,632)</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r>
      <w:tr>
        <w:trPr/>
        <w:tc>
          <w:tcPr>
            <w:tcW w:w="33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1" w:type="dxa"/>
            <w:tcBorders/>
            <w:shd w:fill="CCEEFF"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3,734</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263" w:type="dxa"/>
            <w:tcBorders/>
            <w:shd w:fill="CCEEFF" w:val="clear"/>
            <w:vAlign w:val="center"/>
          </w:tcPr>
          <w:p>
            <w:pPr>
              <w:pStyle w:val="TableContents"/>
              <w:bidi w:val="0"/>
              <w:spacing w:before="0" w:after="283"/>
              <w:jc w:val="left"/>
              <w:rPr>
                <w:sz w:val="4"/>
                <w:szCs w:val="4"/>
              </w:rPr>
            </w:pPr>
            <w:r>
              <w:rPr>
                <w:sz w:val="4"/>
                <w:szCs w:val="4"/>
              </w:rPr>
            </w:r>
          </w:p>
        </w:tc>
        <w:tc>
          <w:tcPr>
            <w:tcW w:w="8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(1,709)%</w:t>
            </w:r>
          </w:p>
        </w:tc>
      </w:tr>
      <w:tr>
        <w:trPr/>
        <w:tc>
          <w:tcPr>
            <w:tcW w:w="33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 of exchange rate changes on cash</w:t>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r>
      <w:tr>
        <w:trPr/>
        <w:tc>
          <w:tcPr>
            <w:tcW w:w="33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 in cash</w:t>
            </w:r>
          </w:p>
        </w:tc>
        <w:tc>
          <w:tcPr>
            <w:tcW w:w="2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1,388</w:t>
            </w:r>
          </w:p>
        </w:tc>
        <w:tc>
          <w:tcPr>
            <w:tcW w:w="1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499</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889</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w:t>
            </w:r>
          </w:p>
        </w:tc>
      </w:tr>
    </w:tbl>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Cash Flows from Operating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Net cash used in operating activities during the six months ended June 30, 2026, was primarily comprised of our $2.8 million net loss, which included $514 thousand in non-cash loan amortization costs, non-cash share-based compensation charges of $5 thousand and working capital uses of $33 thousand. </w:t>
      </w:r>
      <w:r>
        <w:rPr>
          <w:rFonts w:ascii="Times New Roman;serif" w:hAnsi="Times New Roman;serif"/>
          <w:b w:val="false"/>
          <w:i w:val="false"/>
          <w:caps w:val="false"/>
          <w:smallCaps w:val="false"/>
          <w:color w:val="000000"/>
          <w:sz w:val="20"/>
          <w:shd w:fill="FFFFFF" w:val="clear"/>
        </w:rPr>
        <w:t>Net cash used in operating activities during the six months ended June 30, 2025, was primarily comprised of our $3.0 million net loss, which included a $2.0 million non-cash gain on the forgiveness of an outstanding loan, non-cash share-based compensation charges of $57 thousand and an asset impairment charge of $1.2 million, and working capital uses of $206 thousand.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Spending decreased in the current period due to reductions in personnel and other general administrative costs, such as, audit fees, legal fees, insurance fees, state excise tax liabilities, share-based compensation costs, and Board compensation fees. Uses of cash from changes in working capital were due to decreases in accounts payable and accrued expenses and an increase in prepaid expenses and other assets.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Cash Flows from 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six months ended June 30, 2026, there were no investing activities, and d</w:t>
      </w:r>
      <w:r>
        <w:rPr>
          <w:rFonts w:ascii="Times New Roman;serif" w:hAnsi="Times New Roman;serif"/>
          <w:b w:val="false"/>
          <w:i w:val="false"/>
          <w:caps w:val="false"/>
          <w:smallCaps w:val="false"/>
          <w:color w:val="000000"/>
          <w:sz w:val="20"/>
          <w:shd w:fill="FFFFFF" w:val="clear"/>
        </w:rPr>
        <w:t>uring the six months ended June 30, 2025, we received $4.6 million from the sale of assets.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Cash Flows from Financing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six months ended June 30, 2026, we received $7.7 million in proceeds from the issuance of preferred stock, common stock and warrants and we made $4.0 million in debt repayment. D</w:t>
      </w:r>
      <w:r>
        <w:rPr>
          <w:rFonts w:ascii="Times New Roman;serif" w:hAnsi="Times New Roman;serif"/>
          <w:b w:val="false"/>
          <w:i w:val="false"/>
          <w:caps w:val="false"/>
          <w:smallCaps w:val="false"/>
          <w:color w:val="000000"/>
          <w:sz w:val="20"/>
          <w:shd w:fill="FFFFFF" w:val="clear"/>
        </w:rPr>
        <w:t>uring the six months ended June 30, 2025, we made $232 thousand in debt repayments</w:t>
      </w:r>
      <w:r>
        <w:rPr>
          <w:rFonts w:ascii="Times New Roman;serif" w:hAnsi="Times New Roman;serif"/>
          <w:b w:val="false"/>
          <w:i w:val="false"/>
          <w:caps w:val="false"/>
          <w:smallCaps w:val="false"/>
          <w:sz w:val="20"/>
        </w:rPr>
        <w: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Future Capital Requirements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Since inception, we have incurred cumulative net losses and negative cash flows from operating activities, and we expect this to continue for the foreseeable future. As of June 30, 2026, we had $1.9 million in cash balances. Our ability to continue as a going concern is dependent upon our ability to raise additional capital, and there can be no assurance that such capital will be available in sufficient amounts, on a timely basis, on terms acceptable to us, or at all. This raises substantial doubt about our ability to continue as a going concern within one year after the date that the accompanying consolidated financial statements are issued.</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During 2025, we completed multiple sales of certain Ohio Equipment Assets for cumulative gross proceeds of $5.0 million and we completed the sale of our Canadian Farms for gross proceeds of $2.1 million. In October 2025, we completed an issuance of senior notes for net proceeds of $3.3 million.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On February 11, 2026, we completed an equity transaction with certain investors, pursuant to which we sold an aggregate of 1,269,509 shares of our Common Stock and pre-funded warrants to purchase an aggregate of 67,706 shares of Common Stock for gross proceeds of $1.15 million. </w:t>
      </w:r>
    </w:p>
    <w:p>
      <w:pPr>
        <w:pStyle w:val="TextBody"/>
        <w:shd w:fill="FFFFFF" w:val="clear"/>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On April 7, 2026, we entered into securities exchange agreements in a private placement with the holders of our outstanding Senior Notes, pursuant to which an aggregate of $4.0 million of principal and $316 thousand of accrued and unpaid interest was exchanged for an aggregate of 236,367 shares of our Series A Convertible preferred stock. The transaction also included the issuance of 27,386 shares of Series A Convertible preferred stock to a certain investor for gross proceeds of $500 thousand.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On June 25, 2026, we entered into securities purchase agreements with certain purchasers, pursuant to which we issued and sold 109,223 shares of our Series B Convertible preferred stock for gross proceeds of $2.25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plan to continue to sell assets, or to issue equity or debt securities to increase our cash liquidity and fund our evolving strategic plan.</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Until such time, if ever, as we can generate positive cash flows from operating activities, we may finance our cash needs through a combination of sales of assets, equity offerings, debt financings, government or other third-party funding, strategic alliances, and licensing arrangements.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we are unable to generate additional funds in a timely manner, we will exhaust our resources and will be unable to maintain our currently planned operations. If we cannot continue as a going concern, our stockholders would likely lose most or all of their investment in us.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Policies and Estimates</w:t>
      </w:r>
    </w:p>
    <w:p>
      <w:pPr>
        <w:pStyle w:val="TextBody"/>
        <w:bidi w:val="0"/>
        <w:spacing w:lineRule="auto" w:line="259"/>
        <w:ind w:left="0" w:right="288" w:hanging="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This Management’s Discussion and Analysis of Financial Condition and Results of Operations is based on our condensed consolidated financial statements, which we have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 </w:t>
      </w:r>
    </w:p>
    <w:p>
      <w:pPr>
        <w:pStyle w:val="TextBody"/>
        <w:bidi w:val="0"/>
        <w:spacing w:lineRule="auto" w:line="259"/>
        <w:ind w:left="0" w:right="288" w:hanging="0"/>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to these estimates, or the policies related to them, during the six months ended June 30, 2026. For a full discussion of these estimates and policies, see “Critical Accounting Policies and Estimates” within “Management’s Discussion and Analysis of Financial Results of Operations” in our 2025 Annual Report on Form 10-K.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Smaller Reporting Company Status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2"/>
        </w:rPr>
      </w:pPr>
      <w:bookmarkStart w:id="27" w:name="Section23"/>
      <w:bookmarkEnd w:id="27"/>
      <w:r>
        <w:rPr>
          <w:rFonts w:ascii="Times New Roman;serif" w:hAnsi="Times New Roman;serif"/>
          <w:b/>
          <w:i w:val="false"/>
          <w:caps w:val="false"/>
          <w:smallCaps w:val="false"/>
          <w:sz w:val="22"/>
        </w:rPr>
        <w:t>Item 3.  Quantitative 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sections provide quantitative information on our exposure to interest rate risk and foreign currency exchange risk. We make use of sensitivity analyses, which are inherently limited in estimating actual losses in fair value that can occur from changes in market conditions.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Interest Rate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primary exposure to market risk is interest rate risk associated with debt financing that we utilize from time to time to fund operations or specific projects. The interest on this debt is usually determined based on a fixed rate and is contractually set in advance. As of June 30, 2026 and December 31, 2025, we had nil and $3.5 million, respectively, in interest-bearing debt instruments for our continuing operations and we had $7.4 million in interest-bearing debt instruments for our discontinued operations at both June 30, 2026 and December 31,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Foreign Currency Exchange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functional currency is the U.S. Dollar and the functional currency of our U.S. subsidiaries is the U.S. Dollar. The functional currency of our Canadian subsidiary was the Canadian Dollar. For the Canadian subsidiary, assets and liabilities were translated at the exchange rates in effect at the balance sheet date, equity accounts were translated at the historical exchange rate, and the income statement accounts were translated at the average rate for each period during the year. Net translation gains or losses were adjusted directly to a separate component of other comprehensive income (loss) within stockholders’ equity. With the sale of our Canadian subsidiary in March 2025, we do not expect to incur foreign translation gains or losses in the future.</w:t>
      </w:r>
    </w:p>
    <w:p>
      <w:pPr>
        <w:pStyle w:val="TextBody"/>
        <w:bidi w:val="0"/>
        <w:spacing w:lineRule="auto" w:line="259"/>
        <w:rPr>
          <w:rFonts w:ascii="Times New Roman;serif" w:hAnsi="Times New Roman;serif"/>
          <w:b/>
          <w:i w:val="false"/>
          <w:caps w:val="false"/>
          <w:smallCaps w:val="false"/>
          <w:sz w:val="22"/>
        </w:rPr>
      </w:pPr>
      <w:bookmarkStart w:id="28" w:name="Section24"/>
      <w:bookmarkEnd w:id="28"/>
      <w:r>
        <w:rPr>
          <w:rFonts w:ascii="Times New Roman;serif" w:hAnsi="Times New Roman;serif"/>
          <w:b/>
          <w:i w:val="false"/>
          <w:caps w:val="false"/>
          <w:smallCaps w:val="false"/>
          <w:sz w:val="22"/>
        </w:rPr>
        <w:t>Item 4.  Controls and Procedures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Disclosure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 As of June 30, 2026 (the “Evaluation Date”), our management, with the participation of our Interim Chief Executive Officer, who is also our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Interim Chief Executive Officer &amp; Chief Financial Officer has concluded based upon the evaluation described above that, as of the Evaluation Date, our disclosure controls and procedures were effective at the reasonable assurance level.</w:t>
      </w:r>
    </w:p>
    <w:p>
      <w:pPr>
        <w:pStyle w:val="TextBody"/>
        <w:bidi w:val="0"/>
        <w:spacing w:lineRule="auto" w:line="259"/>
        <w:rPr>
          <w:rFonts w:ascii="TimesNewRomanPSMT" w:hAnsi="TimesNewRomanPSMT"/>
          <w:b/>
          <w:i w:val="false"/>
          <w:caps w:val="false"/>
          <w:smallCaps w:val="false"/>
          <w:sz w:val="20"/>
        </w:rPr>
      </w:pPr>
      <w:r>
        <w:rPr>
          <w:rFonts w:ascii="TimesNewRomanPSMT" w:hAnsi="TimesNewRomanPSMT"/>
          <w:b/>
          <w:i w:val="false"/>
          <w:caps w:val="false"/>
          <w:smallCaps w:val="false"/>
          <w:sz w:val="20"/>
        </w:rPr>
        <w:t>Changes in Internal Control Over Financial Reporting</w:t>
      </w:r>
    </w:p>
    <w:p>
      <w:pPr>
        <w:pStyle w:val="TextBody"/>
        <w:bidi w:val="0"/>
        <w:spacing w:lineRule="auto" w:line="259"/>
        <w:rPr>
          <w:rFonts w:ascii="TimesNewRomanPSMT" w:hAnsi="TimesNewRomanPSMT"/>
          <w:b w:val="false"/>
          <w:i w:val="false"/>
          <w:caps w:val="false"/>
          <w:smallCaps w:val="false"/>
          <w:sz w:val="20"/>
        </w:rPr>
      </w:pPr>
      <w:r>
        <w:rPr>
          <w:rFonts w:ascii="TimesNewRomanPSMT" w:hAnsi="TimesNewRomanPSMT"/>
          <w:b w:val="false"/>
          <w:i w:val="false"/>
          <w:caps w:val="false"/>
          <w:smallCaps w:val="false"/>
          <w:sz w:val="20"/>
        </w:rPr>
        <w:t>There have been no changes in our internal control over financial reporting (as defined in Rules 13a-15(f) and 15d-15(f) under the Exchange Act) for the quarter ended June 30, 2026, that have materially affected, or are reasonably likely to materially affect, our internal control over financial reporting.</w:t>
      </w:r>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PART II. OTHER INFORMATION</w:t>
      </w:r>
      <w:bookmarkStart w:id="29" w:name="Section25"/>
      <w:bookmarkEnd w:id="29"/>
    </w:p>
    <w:p>
      <w:pPr>
        <w:pStyle w:val="TextBody"/>
        <w:bidi w:val="0"/>
        <w:spacing w:lineRule="auto" w:line="259"/>
        <w:rPr>
          <w:rFonts w:ascii="Times New Roman;serif" w:hAnsi="Times New Roman;serif"/>
          <w:b/>
          <w:i w:val="false"/>
          <w:caps w:val="false"/>
          <w:smallCaps w:val="false"/>
          <w:sz w:val="22"/>
        </w:rPr>
      </w:pPr>
      <w:bookmarkStart w:id="30" w:name="Section26"/>
      <w:bookmarkEnd w:id="30"/>
      <w:r>
        <w:rPr>
          <w:rFonts w:ascii="Times New Roman;serif" w:hAnsi="Times New Roman;serif"/>
          <w:b/>
          <w:i w:val="false"/>
          <w:caps w:val="false"/>
          <w:smallCaps w:val="false"/>
          <w:sz w:val="22"/>
        </w:rPr>
        <w:t>Item 1.  Legal Proceedings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not party to any legal proceedings the outcome of which, we believe, if determined adversely to us, would individually or in the aggregate have a material adverse effect on our future business, consolidated results of operations, cash flows, or financial position. We may, from time to time, be subject to legal proceedings and claims arising from the normal course of business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2"/>
        </w:rPr>
      </w:pPr>
      <w:bookmarkStart w:id="31" w:name="Section27"/>
      <w:bookmarkEnd w:id="31"/>
      <w:r>
        <w:rPr>
          <w:rFonts w:ascii="Times New Roman;serif" w:hAnsi="Times New Roman;serif"/>
          <w:b/>
          <w:i w:val="false"/>
          <w:caps w:val="false"/>
          <w:smallCaps w:val="false"/>
          <w:sz w:val="22"/>
        </w:rPr>
        <w:t>Item 1A. Risk Factors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disclosed in “Item 1A. Risk Factors” in our Annual Report on Form 10-K for the year ended December 31, 2025, which was filed on March 31, 2026, there are a number of risk factors that could affect our business, financial condition, and results of operations. The following risk factors are either new or have changed materially from those set forth in our Annual Report on Form 10-K for the year ended December 31, 2025. In evaluating our business, you should carefully review the risks described in our Annual Report on Form 10-K, including our consolidated financial statements and related notes, and in other reports we file with the SEC.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Quarterly Report on Form 10-Q also contains forward-looking statements that involve risks and uncertainties. Our actual results could differ materially from those anticipated in these forward-looking statements as a result of certain factors, including the risks faced by us described below, elsewhere in this Quarterly Report on Form 10-Q, and in our Annual Report on Form 10-K. See “Cautionary Note Regarding Forward-Looking Statements” for information relating to these forward-looking statements.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 have a history of net losses and expect to incur future losses, and there is substantial doubt about our ability to continue as a going concern.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period from incorporation to June 30, 2026, we have incurred cumulative net losses of approximately $391 million, and we expect to incur additional net losses in future periods. These losses were related to our personnel, research and development, production and marketing costs. As of June 30, 2026, we had $1.9 million in cash and cash equivalents.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ability to continue as a going concern is dependent upon our ability to raise additional capital, and there can be no assurance that such capital will be available in sufficient amounts, on a timely basis, on acceptable terms, or at all. This raises substantial doubt about our ability to continue as a going concern within one year after the date hereof. The accompanying financial statements have been prepared on a going concern basis, which contemplates the realization of assets and the satisfaction of liabilities in the normal course of business and do not include any adjustments that might result from the outcome of this uncertainty. If we cannot continue as a going concern, our stockholders would likely lose most or all of their investment in us.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issuance of convertible preferred stock may adversely affect our liquidity, governance, and the rights of holders of our common stock.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7, 2026, we issued shares of Series A Convertible Preferred Stock in a private placement, including in exchange for outstanding indebtedness. On June 25, 2026, we issued shares of Series B Convertible Preferred Stock in a private placement. Both series of preferred stock have rights senior to our Common Stock, including cumulative dividends, a senior liquidation preference, redemption rights in certain circumstances, and conversion rights into Common Stock. Dividends accrue cumulatively at a high rate and are payable only if declared by our Board of Directors out of legally available funds, and unpaid dividends continue to accrue, increasing our obligations and potentially exacerbating our liquidity constraints.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conversion of the Series A Convertible Preferred Stock or Series B Preferred Stock could result in significant dilution to holders of our Common Stock and may adversely affect the trading price of shares of our Common Stock. In addition, both series of preferred stock include protective provisions requiring preferred stockholder approval for certain corporate actions, which may limit our operational and financing flexibility. In a liquidation, insolvency, or change of control, holders of shares of Common Stock may receive little or no value after satisfaction of creditor claims and the preferred stock liquidation preference.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expansion of the strategic review to include power infrastructure and energy development opportunities may not result in any transaction, and any such transaction or business would expose us to significant execution, regulatory, and financing risks.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historically operated as an aquaculture company and have no operating history in the power generation, energy development, or digital infrastructure sectors. In July 2026, we expanded our strategic review of the Pioneer, Ohio property to evaluate opportunities that may include a sale, lease, joint development arrangement, or other transactions involving power infrastructure, energy development, or related uses. There can be no assurance that this process will result in any transaction, or that any transaction, if pursued, will be completed on favorable terms or at all. The process may require significant management attention and could divert resources from other efforts to preserve and maximize stockholder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Any redevelopment or repurposing of the Pioneer site would be subject to significant risks, including market conditions, financing availability, and the ability to obtain required governmental approvals, permits, interconnection rights, and other regulatory authorizations. We also currently lack the capital necessary to pursue large-scale infrastructure or energy projects and may be unable to raise additional funds on acceptable terms, if at all. If the strategic review does not result in a completed transaction, or if any transaction or new business initiative is delayed, more costly than expected, or fails to generate anticipated value, our business, financial condition, results of operations, prospects, and stock price could be materially adversely affected.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We may not be able to maintain our listing on Nasdaq, which could limit investors’ ability or willingness to make transactions in our securities and subject us to additional trading restrictions.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Even though our common stock is traded on Nasdaq, we cannot assure you that we will be able to comply with standards necessary to maintain such listing, which may result in our common stock being delisted from Nasdaq. If our common stock were no longer listed on Nasdaq, investors would experience impaired liquidity for our common stock, not only in the number of shares that could be bought and sold at a given price, which might be depressed by the relative illiquidity, but also through delays in the timing of transactions and reduction in media coverage. For example, investors might only be able to trade on one of the over-the-counter markets. In addition, we could face significant material adverse consequences, including: a limited availability of market quotations for our securities; a limited amount of news and analyst coverage for us; and a decreased ability to issue additional securities or obtain additional financing in the future.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Nasdaq has adopted Listing Rules 5450(a)(3) and 5550(a)(6), which would require issuers to maintain a minimum Market Value of Listed Securities ("MVLS") of at least $5 million (the "MVLS Requirement"). On July 22, 2026, the staff of the Securities and Exchange Commission's Division of Trading and Markets, acting pursuant to delegated authority, approved the Nasdaq rule change. Under the rule as approved, an issuer whose MVLS remains below $5 million for 30 consecutive business days would be subject to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immediate suspension and delisting without a cure or compliance period, and a request for review by a Nasdaq Hearings Panel would not stay the suspension of trading.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However, on July 29, 2026, the Securities and Exchange Commission received notices of intention to petition for review of the delegated action and, pursuant to Rule 431(e) of the Commission's Rules of Practice, the July 22, 2026 approval order was automatically stayed pending review by the full Commission. As a result, the MVLS Requirement and the related immediate suspension and delisting provisions are not currently in effect and will remain stayed unless and until the Commission orders otherwise. The Commission may ultimately affirm, modify or set aside the delegated action, and there can be no assurance as to the outcome or timing of the Commission's review or whether the MVLS Requirement will take effect in its current form, a modified form or at all.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August 4, 2026, the market value of our listed securities was less than $5 million. If the MVLS Requirement becomes effective and we are unable to maintain compliance with that requirement or other applicable Nasdaq continued listing standards, we could become subject to suspension of trading and delisting from Nasdaq.</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also experienced periods of negative stockholders’ equity, as reflected in our financial statements included in this Quarterly Report on Form 10-Q, and any failure to maintain positive stockholders’ equity could further increase the risk that our common stock fails to meet Nasdaq’s continued listing standards, which could result in our suspension and delisting from Nasdaq.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15, 2025, we received a letter (the “2025 Notice”) from Nasdaq notifying us that, because the closing bid price for our common stock had been below $1.00 per share for the previous 30 consecutive business days, it no longer complied with the minimum bid price requirement for continued listing on Nasdaq. The 2025 Notice had no immediate effect on our listing or on the trading of our common stock. The 2025 Notice provided us with a compliance period of 180 calendar days, or until July 15, 2025, to regain compliance. We were subsequently granted an additional 180 calendar days, or until January 12, 2026, to regain compliance. On September 15, 2025 we received a notice from Nasdaq confirming that we had regained compliance with the minimum bid price requirement for continued listing on Nasdaq.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can be no assurance that we will be able to maintain compliance with the Nasdaq minimum bid price requirement, the MVLS Requirement, or any other applicable Nasdaq continued listing standards. Any failure to comply with Nasdaq listing rules could lead to the delisting of our common stock from Nasdaq and our common stock trading, if at all, only on the over-the-counter markets, which would likely have less liquidity and more price volatility than experienced on Nasdaq. Stockholders may not be able to sell their shares of our common stock on any such substitute market in the quantities, at the times, or at the prices that could potentially be available on a more liquid trading market. As a result of these factors, if our common stock is delisted from Nasdaq, the value and liquidity of our common stock would likely be significantly adversely affected.</w:t>
      </w:r>
    </w:p>
    <w:p>
      <w:pPr>
        <w:pStyle w:val="TextBody"/>
        <w:bidi w:val="0"/>
        <w:spacing w:lineRule="auto" w:line="259"/>
        <w:rPr>
          <w:rFonts w:ascii="Times New Roman;serif" w:hAnsi="Times New Roman;serif"/>
          <w:b/>
          <w:i w:val="false"/>
          <w:caps w:val="false"/>
          <w:smallCaps w:val="false"/>
          <w:sz w:val="22"/>
        </w:rPr>
      </w:pPr>
      <w:bookmarkStart w:id="32" w:name="Section28"/>
      <w:bookmarkEnd w:id="32"/>
      <w:r>
        <w:rPr>
          <w:rFonts w:ascii="Times New Roman;serif" w:hAnsi="Times New Roman;serif"/>
          <w:b/>
          <w:i w:val="false"/>
          <w:caps w:val="false"/>
          <w:smallCaps w:val="false"/>
          <w:sz w:val="22"/>
        </w:rPr>
        <w:t>Item 2.  Unregistered Sales of Equity Securities and Use of Proceeds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2"/>
        </w:rPr>
      </w:pPr>
      <w:bookmarkStart w:id="33" w:name="Section29"/>
      <w:bookmarkEnd w:id="33"/>
      <w:r>
        <w:rPr>
          <w:rFonts w:ascii="Times New Roman;serif" w:hAnsi="Times New Roman;serif"/>
          <w:b/>
          <w:i w:val="false"/>
          <w:caps w:val="false"/>
          <w:smallCaps w:val="false"/>
          <w:sz w:val="22"/>
        </w:rPr>
        <w:t>Item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2"/>
        </w:rPr>
      </w:pPr>
      <w:bookmarkStart w:id="34" w:name="Section30"/>
      <w:bookmarkEnd w:id="34"/>
      <w:r>
        <w:rPr>
          <w:rFonts w:ascii="Times New Roman;serif" w:hAnsi="Times New Roman;serif"/>
          <w:b/>
          <w:i w:val="false"/>
          <w:caps w:val="false"/>
          <w:smallCaps w:val="false"/>
          <w:sz w:val="22"/>
        </w:rPr>
        <w:t>Item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5.  Other Information</w:t>
      </w:r>
      <w:bookmarkStart w:id="35" w:name="Section31"/>
      <w:bookmarkEnd w:id="35"/>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six months ended June 30, 2026, no director or officer of the Company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terminated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“Rule 10b5-1 trading arrangement” or “non-Rule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10b5-1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trading arrangement,” as each term is defined in Item 408 of Regulation S-K.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trik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6. Exhibits</w:t>
      </w:r>
      <w:bookmarkStart w:id="36" w:name="Section32"/>
      <w:bookmarkEnd w:id="36"/>
    </w:p>
    <w:p>
      <w:pPr>
        <w:pStyle w:val="TextBody"/>
        <w:bidi w:val="0"/>
        <w:spacing w:lineRule="auto" w:line="259"/>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EXHIBIT INDEX</w:t>
      </w:r>
    </w:p>
    <w:tbl>
      <w:tblPr>
        <w:tblW w:w="10205" w:type="dxa"/>
        <w:jc w:val="center"/>
        <w:tblInd w:w="0" w:type="dxa"/>
        <w:tblLayout w:type="fixed"/>
        <w:tblCellMar>
          <w:top w:w="0" w:type="dxa"/>
          <w:left w:w="0" w:type="dxa"/>
          <w:bottom w:w="0" w:type="dxa"/>
          <w:right w:w="0" w:type="dxa"/>
        </w:tblCellMar>
      </w:tblPr>
      <w:tblGrid>
        <w:gridCol w:w="1047"/>
        <w:gridCol w:w="109"/>
        <w:gridCol w:w="9049"/>
      </w:tblGrid>
      <w:tr>
        <w:trPr/>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before="0" w:after="283"/>
              <w:jc w:val="left"/>
              <w:rPr>
                <w:sz w:val="4"/>
                <w:szCs w:val="4"/>
              </w:rPr>
            </w:pPr>
            <w:r>
              <w:rPr>
                <w:sz w:val="4"/>
                <w:szCs w:val="4"/>
              </w:rPr>
            </w:r>
          </w:p>
        </w:tc>
      </w:tr>
      <w:tr>
        <w:trPr/>
        <w:tc>
          <w:tcPr>
            <w:tcW w:w="104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Number</w:t>
            </w:r>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Description</w:t>
            </w:r>
          </w:p>
        </w:tc>
      </w:tr>
      <w:tr>
        <w:trPr/>
        <w:tc>
          <w:tcPr>
            <w:tcW w:w="1047"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20"/>
                  <w:u w:val="single"/>
                </w:rPr>
                <w:t>3.1*</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0"/>
                  <w:u w:val="single"/>
                </w:rPr>
                <w:t>Certificate of Designations of Series A Convertible Preferred Stock of AquaBounty Technologies, Inc., as corrected by the Certificate of Correction dated April 16, 2026 (incorporated by reference to Exhibit 3.1 to the Registrant’s Current Report on Form 8-K/A, filed on April 17, 2026).</w:t>
              </w:r>
            </w:hyperlink>
          </w:p>
        </w:tc>
      </w:tr>
      <w:tr>
        <w:trPr/>
        <w:tc>
          <w:tcPr>
            <w:tcW w:w="1047" w:type="dxa"/>
            <w:tcBorders/>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000FF"/>
                  <w:sz w:val="20"/>
                  <w:u w:val="single"/>
                </w:rPr>
                <w:t>3.2*</w:t>
              </w:r>
            </w:hyperlink>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000FF"/>
                  <w:sz w:val="20"/>
                  <w:u w:val="single"/>
                  <w:shd w:fill="FFFFFF" w:val="clear"/>
                </w:rPr>
                <w:t>Certificate of Designations of Series B Convertible Preferred Stock</w:t>
              </w:r>
            </w:hyperlink>
            <w:hyperlink r:id="rId6">
              <w:r>
                <w:rPr>
                  <w:rStyle w:val="InternetLink"/>
                  <w:rFonts w:ascii="Times New Roman;serif" w:hAnsi="Times New Roman;serif"/>
                  <w:b w:val="false"/>
                  <w:i w:val="false"/>
                  <w:caps w:val="false"/>
                  <w:smallCaps w:val="false"/>
                  <w:color w:val="0000FF"/>
                  <w:sz w:val="20"/>
                  <w:u w:val="single"/>
                </w:rPr>
                <w:t>(incorporated by reference to Exhibit 3.1 to the Registrant’s Current Report on Form 8-K, filed on June 30, 2026).</w:t>
              </w:r>
            </w:hyperlink>
          </w:p>
        </w:tc>
      </w:tr>
      <w:tr>
        <w:trPr/>
        <w:tc>
          <w:tcPr>
            <w:tcW w:w="1047"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000FF"/>
                  <w:sz w:val="20"/>
                  <w:u w:val="single"/>
                </w:rPr>
                <w:t>10.1*</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000FF"/>
                  <w:sz w:val="20"/>
                  <w:u w:val="single"/>
                </w:rPr>
                <w:t>Form of Securities Exchange Agreement dated April 7, 2026 (incorporated by reference to Exhibit 10.1 to the Registrant’s Current Report on Form 8-K, filed on April 8, 2026).</w:t>
              </w:r>
            </w:hyperlink>
          </w:p>
        </w:tc>
      </w:tr>
      <w:tr>
        <w:trPr/>
        <w:tc>
          <w:tcPr>
            <w:tcW w:w="1047" w:type="dxa"/>
            <w:tcBorders/>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000FF"/>
                  <w:sz w:val="20"/>
                  <w:u w:val="single"/>
                </w:rPr>
                <w:t>10.2*</w:t>
              </w:r>
            </w:hyperlink>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pPr>
            <w:hyperlink r:id="rId10">
              <w:r>
                <w:rPr>
                  <w:rStyle w:val="InternetLink"/>
                  <w:rFonts w:ascii="Times New Roman;serif" w:hAnsi="Times New Roman;serif"/>
                  <w:b w:val="false"/>
                  <w:i w:val="false"/>
                  <w:caps w:val="false"/>
                  <w:smallCaps w:val="false"/>
                  <w:color w:val="0000FF"/>
                  <w:sz w:val="20"/>
                  <w:u w:val="single"/>
                </w:rPr>
                <w:t>Form of Preferred Stock Purchase Agreement dated April 7, 2026 (incorporated by reference to Exhibit 10.2 to the Registrant’s Current Report on Form 8-K, filed on April 8, 2026).</w:t>
              </w:r>
            </w:hyperlink>
          </w:p>
        </w:tc>
      </w:tr>
      <w:tr>
        <w:trPr/>
        <w:tc>
          <w:tcPr>
            <w:tcW w:w="1047" w:type="dxa"/>
            <w:tcBorders/>
            <w:shd w:fill="CCEEFF" w:val="clear"/>
            <w:vAlign w:val="center"/>
          </w:tcPr>
          <w:p>
            <w:pPr>
              <w:pStyle w:val="TableContents"/>
              <w:bidi w:val="0"/>
              <w:spacing w:lineRule="auto" w:line="259" w:before="0" w:after="283"/>
              <w:jc w:val="left"/>
              <w:rPr/>
            </w:pPr>
            <w:hyperlink r:id="rId11">
              <w:r>
                <w:rPr>
                  <w:rStyle w:val="InternetLink"/>
                  <w:rFonts w:ascii="Times New Roman;serif" w:hAnsi="Times New Roman;serif"/>
                  <w:b w:val="false"/>
                  <w:i w:val="false"/>
                  <w:caps w:val="false"/>
                  <w:smallCaps w:val="false"/>
                  <w:color w:val="0000FF"/>
                  <w:sz w:val="20"/>
                  <w:u w:val="single"/>
                </w:rPr>
                <w:t>10.3*</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pPr>
            <w:hyperlink r:id="rId12">
              <w:r>
                <w:rPr>
                  <w:rStyle w:val="InternetLink"/>
                  <w:rFonts w:ascii="Times New Roman;serif" w:hAnsi="Times New Roman;serif"/>
                  <w:b w:val="false"/>
                  <w:i w:val="false"/>
                  <w:caps w:val="false"/>
                  <w:smallCaps w:val="false"/>
                  <w:color w:val="0000FF"/>
                  <w:sz w:val="20"/>
                  <w:u w:val="single"/>
                </w:rPr>
                <w:t>Placement Agency Agreement, dated April 7, 2026, between the Company and Univest Securities, LLC (incorporated by reference to Exhibit 10.3 to the Registrant’s Current Report on Form 8-K, filed on April 8, 2026).</w:t>
              </w:r>
            </w:hyperlink>
          </w:p>
        </w:tc>
      </w:tr>
      <w:tr>
        <w:trPr/>
        <w:tc>
          <w:tcPr>
            <w:tcW w:w="1047" w:type="dxa"/>
            <w:tcBorders/>
            <w:vAlign w:val="center"/>
          </w:tcPr>
          <w:p>
            <w:pPr>
              <w:pStyle w:val="TableContents"/>
              <w:bidi w:val="0"/>
              <w:spacing w:lineRule="auto" w:line="259" w:before="0" w:after="283"/>
              <w:jc w:val="left"/>
              <w:rPr/>
            </w:pPr>
            <w:hyperlink r:id="rId13">
              <w:r>
                <w:rPr>
                  <w:rStyle w:val="InternetLink"/>
                  <w:rFonts w:ascii="Times New Roman;serif" w:hAnsi="Times New Roman;serif"/>
                  <w:b w:val="false"/>
                  <w:i w:val="false"/>
                  <w:caps w:val="false"/>
                  <w:smallCaps w:val="false"/>
                  <w:color w:val="0000FF"/>
                  <w:sz w:val="20"/>
                  <w:u w:val="single"/>
                </w:rPr>
                <w:t>10.4*</w:t>
              </w:r>
            </w:hyperlink>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pPr>
            <w:hyperlink r:id="rId14">
              <w:r>
                <w:rPr>
                  <w:rStyle w:val="InternetLink"/>
                  <w:rFonts w:ascii="Times New Roman;serif" w:hAnsi="Times New Roman;serif"/>
                  <w:b w:val="false"/>
                  <w:i w:val="false"/>
                  <w:caps w:val="false"/>
                  <w:smallCaps w:val="false"/>
                  <w:color w:val="0000FF"/>
                  <w:sz w:val="20"/>
                  <w:u w:val="single"/>
                </w:rPr>
                <w:t>Form of Preferred Stock Purchase Agreement dated June 25, 2026 (incorporated by reference to Exhibit 10.1 to the Registrant’s Current Report on Form 8-K, filed on June 30, 2026).</w:t>
              </w:r>
            </w:hyperlink>
          </w:p>
        </w:tc>
      </w:tr>
      <w:tr>
        <w:trPr/>
        <w:tc>
          <w:tcPr>
            <w:tcW w:w="1047" w:type="dxa"/>
            <w:tcBorders/>
            <w:shd w:fill="CCEEFF" w:val="clear"/>
            <w:vAlign w:val="center"/>
          </w:tcPr>
          <w:p>
            <w:pPr>
              <w:pStyle w:val="TableContents"/>
              <w:bidi w:val="0"/>
              <w:spacing w:lineRule="auto" w:line="259" w:before="0" w:after="283"/>
              <w:jc w:val="left"/>
              <w:rPr/>
            </w:pPr>
            <w:hyperlink r:id="rId15">
              <w:r>
                <w:rPr>
                  <w:rStyle w:val="InternetLink"/>
                  <w:rFonts w:ascii="Times New Roman;serif" w:hAnsi="Times New Roman;serif"/>
                  <w:b w:val="false"/>
                  <w:i w:val="false"/>
                  <w:caps w:val="false"/>
                  <w:smallCaps w:val="false"/>
                  <w:color w:val="0000FF"/>
                  <w:sz w:val="20"/>
                  <w:u w:val="single"/>
                </w:rPr>
                <w:t>10.5*</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pPr>
            <w:hyperlink r:id="rId16">
              <w:r>
                <w:rPr>
                  <w:rStyle w:val="InternetLink"/>
                  <w:rFonts w:ascii="Times New Roman;serif" w:hAnsi="Times New Roman;serif"/>
                  <w:b w:val="false"/>
                  <w:i w:val="false"/>
                  <w:caps w:val="false"/>
                  <w:smallCaps w:val="false"/>
                  <w:color w:val="0000FF"/>
                  <w:sz w:val="20"/>
                  <w:u w:val="single"/>
                </w:rPr>
                <w:t>Placement Agency Agreement, dated June 25, 2026, between the Company and Univest Securities, LLC (incorporated by reference to Exhibit 10.2 to the Registrant’s Current Report on Form 8-K, filed on June 30, 2026).</w:t>
              </w:r>
            </w:hyperlink>
          </w:p>
        </w:tc>
      </w:tr>
      <w:tr>
        <w:trPr/>
        <w:tc>
          <w:tcPr>
            <w:tcW w:w="1047" w:type="dxa"/>
            <w:tcBorders/>
            <w:vAlign w:val="center"/>
          </w:tcPr>
          <w:p>
            <w:pPr>
              <w:pStyle w:val="TableContents"/>
              <w:bidi w:val="0"/>
              <w:spacing w:lineRule="auto" w:line="259" w:before="0" w:after="283"/>
              <w:jc w:val="left"/>
              <w:rPr/>
            </w:pPr>
            <w:hyperlink w:anchor="aqb-20260630xex31_1.htm">
              <w:r>
                <w:rPr>
                  <w:rStyle w:val="InternetLink"/>
                  <w:rFonts w:ascii="Times New Roman;serif" w:hAnsi="Times New Roman;serif"/>
                  <w:b w:val="false"/>
                  <w:i w:val="false"/>
                  <w:caps w:val="false"/>
                  <w:smallCaps w:val="false"/>
                  <w:color w:val="0000FF"/>
                  <w:sz w:val="20"/>
                  <w:u w:val="single"/>
                </w:rPr>
                <w:t>31.1</w:t>
              </w:r>
            </w:hyperlink>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pPr>
            <w:hyperlink w:anchor="aqb-20260630xex31_1.htm">
              <w:r>
                <w:rPr>
                  <w:rStyle w:val="InternetLink"/>
                  <w:rFonts w:ascii="Times New Roman;serif" w:hAnsi="Times New Roman;serif"/>
                  <w:b w:val="false"/>
                  <w:i w:val="false"/>
                  <w:caps w:val="false"/>
                  <w:smallCaps w:val="false"/>
                  <w:color w:val="0000FF"/>
                  <w:sz w:val="20"/>
                  <w:u w:val="single"/>
                </w:rPr>
                <w:t>Certification of the Chief Executive Officer and Chief Financial Officer pursuant to Section 302 of the Sarbanes-Oxley Act of 2002.</w:t>
              </w:r>
            </w:hyperlink>
          </w:p>
        </w:tc>
      </w:tr>
      <w:tr>
        <w:trPr/>
        <w:tc>
          <w:tcPr>
            <w:tcW w:w="1047" w:type="dxa"/>
            <w:tcBorders/>
            <w:shd w:fill="CCEEFF" w:val="clear"/>
            <w:vAlign w:val="center"/>
          </w:tcPr>
          <w:p>
            <w:pPr>
              <w:pStyle w:val="TableContents"/>
              <w:bidi w:val="0"/>
              <w:spacing w:lineRule="auto" w:line="259" w:before="0" w:after="283"/>
              <w:jc w:val="left"/>
              <w:rPr/>
            </w:pPr>
            <w:hyperlink w:anchor="aqb-20260630xex32_1.htm">
              <w:r>
                <w:rPr>
                  <w:rStyle w:val="InternetLink"/>
                  <w:rFonts w:ascii="Times New Roman;serif" w:hAnsi="Times New Roman;serif"/>
                  <w:b w:val="false"/>
                  <w:i w:val="false"/>
                  <w:caps w:val="false"/>
                  <w:smallCaps w:val="false"/>
                  <w:color w:val="0000FF"/>
                  <w:sz w:val="20"/>
                  <w:u w:val="single"/>
                </w:rPr>
                <w:t>32.1+</w:t>
              </w:r>
            </w:hyperlink>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pPr>
            <w:hyperlink w:anchor="aqb-20260630xex32_1.htm">
              <w:r>
                <w:rPr>
                  <w:rStyle w:val="InternetLink"/>
                  <w:rFonts w:ascii="Times New Roman;serif" w:hAnsi="Times New Roman;serif"/>
                  <w:b w:val="false"/>
                  <w:i w:val="false"/>
                  <w:caps w:val="false"/>
                  <w:smallCaps w:val="false"/>
                  <w:color w:val="0000FF"/>
                  <w:sz w:val="20"/>
                  <w:u w:val="single"/>
                </w:rPr>
                <w:t>Certification of the Chief Executive Officer and Chief Financial Officer pursuant to Section 906 of the Sarbanes-Oxley Act of 2002.</w:t>
              </w:r>
            </w:hyperlink>
          </w:p>
        </w:tc>
      </w:tr>
      <w:tr>
        <w:trPr/>
        <w:tc>
          <w:tcPr>
            <w:tcW w:w="10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101.INS</w:t>
            </w:r>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instance document.</w:t>
            </w:r>
          </w:p>
        </w:tc>
      </w:tr>
      <w:tr>
        <w:trPr/>
        <w:tc>
          <w:tcPr>
            <w:tcW w:w="10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101.SCH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schema document.</w:t>
            </w:r>
          </w:p>
        </w:tc>
      </w:tr>
      <w:tr>
        <w:trPr/>
        <w:tc>
          <w:tcPr>
            <w:tcW w:w="10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101.CAL</w:t>
            </w:r>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calculation linkbase document.</w:t>
            </w:r>
          </w:p>
        </w:tc>
      </w:tr>
      <w:tr>
        <w:trPr/>
        <w:tc>
          <w:tcPr>
            <w:tcW w:w="10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101.LAB</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label linkbase document.</w:t>
            </w:r>
          </w:p>
        </w:tc>
      </w:tr>
      <w:tr>
        <w:trPr/>
        <w:tc>
          <w:tcPr>
            <w:tcW w:w="104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101.PRE</w:t>
            </w:r>
          </w:p>
        </w:tc>
        <w:tc>
          <w:tcPr>
            <w:tcW w:w="109" w:type="dxa"/>
            <w:tcBorders/>
            <w:vAlign w:val="center"/>
          </w:tcPr>
          <w:p>
            <w:pPr>
              <w:pStyle w:val="TableContents"/>
              <w:bidi w:val="0"/>
              <w:spacing w:before="0" w:after="283"/>
              <w:jc w:val="left"/>
              <w:rPr>
                <w:sz w:val="4"/>
                <w:szCs w:val="4"/>
              </w:rPr>
            </w:pPr>
            <w:r>
              <w:rPr>
                <w:sz w:val="4"/>
                <w:szCs w:val="4"/>
              </w:rPr>
            </w:r>
          </w:p>
        </w:tc>
        <w:tc>
          <w:tcPr>
            <w:tcW w:w="90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presentation linkbase document.</w:t>
            </w:r>
          </w:p>
        </w:tc>
      </w:tr>
      <w:tr>
        <w:trPr/>
        <w:tc>
          <w:tcPr>
            <w:tcW w:w="104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101.DEF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XBRL taxonomy extension definition linkbase document.</w:t>
            </w:r>
          </w:p>
        </w:tc>
      </w:tr>
      <w:tr>
        <w:trPr/>
        <w:tc>
          <w:tcPr>
            <w:tcW w:w="1047"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49"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Cover Page Interactive Data File-the cover page interactive data file does not appear in the Interactive Data File because the XBRL tags are embedded within the Inline XBRL document.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herein by reference as indicated.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certification furnished in Exhibit 32.1 is deemed to be furnished and will not be deemed “filed” for purposes of Section 18 of the Exchange Act. Such certification will not be deemed to be incorporated by reference into any filings under the Securities Act of 1933, as amended, or the Exchange Act, except to the extent that the Registrant specifically incorporates it by reference.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4"/>
        </w:rPr>
      </w:pPr>
      <w:r>
        <w:rPr>
          <w:rFonts w:ascii="Times New Roman;serif" w:hAnsi="Times New Roman;serif"/>
          <w:b/>
          <w:i w:val="false"/>
          <w:caps w:val="false"/>
          <w:smallCaps w:val="false"/>
          <w:sz w:val="24"/>
        </w:rPr>
        <w:t>Signature</w:t>
      </w:r>
      <w:bookmarkStart w:id="37" w:name="Signatures"/>
      <w:bookmarkEnd w:id="37"/>
      <w:r>
        <w:rPr>
          <w:rFonts w:ascii="Times New Roman;serif" w:hAnsi="Times New Roman;serif"/>
          <w:b/>
          <w:i w:val="false"/>
          <w:caps w:val="false"/>
          <w:smallCaps w:val="false"/>
          <w:sz w:val="24"/>
        </w:rPr>
        <w: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151"/>
        <w:gridCol w:w="109"/>
        <w:gridCol w:w="8945"/>
      </w:tblGrid>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AQUABOUNTY TECHNOLOGIES, INC.</w:t>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August 6, 2026</w:t>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David A. Frank</w:t>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David A. Frank</w:t>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lineRule="auto" w:line="259" w:before="0" w:after="283"/>
              <w:jc w:val="left"/>
              <w:rPr>
                <w:rFonts w:ascii="Times New Roman;serif" w:hAnsi="Times New Roman;serif"/>
                <w:sz w:val="20"/>
              </w:rPr>
            </w:pPr>
            <w:bookmarkStart w:id="38" w:name="_Hlk188278076"/>
            <w:bookmarkEnd w:id="38"/>
            <w:r>
              <w:rPr>
                <w:rFonts w:ascii="Times New Roman;serif" w:hAnsi="Times New Roman;serif"/>
                <w:b w:val="false"/>
                <w:i w:val="false"/>
                <w:caps w:val="false"/>
                <w:smallCaps w:val="false"/>
                <w:sz w:val="20"/>
              </w:rPr>
              <w:t>Interim Chief Executive Officer, Chief Financial Officer and Treasurer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(principal executive, financial and accounting officer and duly authorized officer)</w:t>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uto" w:line="240" w:before="0" w:after="0"/>
        <w:ind w:left="720" w:right="720" w:hanging="0"/>
        <w:jc w:val="right"/>
        <w:rPr>
          <w:rFonts w:ascii="Times New Roman" w:hAnsi="Times New Roman"/>
          <w:sz w:val="20"/>
        </w:rPr>
      </w:pPr>
      <w:bookmarkStart w:id="39" w:name="aqb-20260630xex31_1.htm"/>
      <w:bookmarkStart w:id="40" w:name="ksaqb20260630xex31_1"/>
      <w:bookmarkEnd w:id="39"/>
      <w:bookmarkEnd w:id="40"/>
      <w:r>
        <w:rPr>
          <w:rFonts w:ascii="Times New Roman" w:hAnsi="Times New Roman"/>
          <w:b/>
          <w:color w:val="000000"/>
          <w:sz w:val="20"/>
        </w:rPr>
        <w:t>EXHIBIT 31.1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720" w:right="720" w:hanging="0"/>
        <w:jc w:val="center"/>
        <w:rPr>
          <w:rFonts w:ascii="Times New Roman" w:hAnsi="Times New Roman"/>
          <w:sz w:val="20"/>
        </w:rPr>
      </w:pPr>
      <w:r>
        <w:rPr>
          <w:rFonts w:ascii="Times New Roman" w:hAnsi="Times New Roman"/>
          <w:b/>
          <w:color w:val="000000"/>
          <w:sz w:val="20"/>
        </w:rPr>
        <w:t>Certification</w:t>
      </w:r>
      <w:r>
        <w:rPr>
          <w:rFonts w:ascii="Times New Roman" w:hAnsi="Times New Roman"/>
          <w:sz w:val="20"/>
        </w:rPr>
        <w:t xml:space="preserve"> </w:t>
      </w:r>
    </w:p>
    <w:p>
      <w:pPr>
        <w:pStyle w:val="TextBody"/>
        <w:bidi w:val="0"/>
        <w:spacing w:lineRule="auto" w:line="240" w:before="0" w:after="0"/>
        <w:ind w:left="720" w:right="720" w:hanging="0"/>
        <w:jc w:val="center"/>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hanging="0"/>
        <w:jc w:val="left"/>
        <w:rPr>
          <w:rFonts w:ascii="Times New Roman" w:hAnsi="Times New Roman"/>
          <w:sz w:val="20"/>
        </w:rPr>
      </w:pPr>
      <w:r>
        <w:rPr>
          <w:rFonts w:ascii="Times New Roman" w:hAnsi="Times New Roman"/>
          <w:color w:val="000000"/>
          <w:sz w:val="20"/>
        </w:rPr>
        <w:t>I, David A. Frank, certify that:</w:t>
      </w:r>
      <w:r>
        <w:rPr>
          <w:rFonts w:ascii="Times New Roman" w:hAnsi="Times New Roman"/>
          <w:sz w:val="20"/>
        </w:rPr>
        <w:t xml:space="preserve"> </w:t>
      </w:r>
    </w:p>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hanging="0"/>
        <w:jc w:val="left"/>
        <w:rPr>
          <w:rFonts w:ascii="Times New Roman" w:hAnsi="Times New Roman"/>
          <w:sz w:val="20"/>
        </w:rPr>
      </w:pPr>
      <w:r>
        <w:rPr>
          <w:rFonts w:ascii="Times New Roman" w:hAnsi="Times New Roman"/>
          <w:color w:val="000000"/>
          <w:sz w:val="20"/>
        </w:rPr>
        <w:t>1. I have reviewed this quarterly report on Form 10-Q of AquaBounty Technologies, Inc.;</w:t>
      </w:r>
      <w:r>
        <w:rPr>
          <w:rFonts w:ascii="Times New Roman" w:hAnsi="Times New Roman"/>
          <w:sz w:val="20"/>
        </w:rPr>
        <w:t xml:space="preserve"> </w:t>
      </w:r>
    </w:p>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hanging="0"/>
        <w:jc w:val="left"/>
        <w:rPr>
          <w:rFonts w:ascii="Times New Roman" w:hAnsi="Times New Roman"/>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hanging="0"/>
        <w:jc w:val="left"/>
        <w:rPr>
          <w:rFonts w:ascii="Times New Roman" w:hAnsi="Times New Roman"/>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hanging="0"/>
        <w:jc w:val="left"/>
        <w:rPr>
          <w:rFonts w:ascii="Times New Roman" w:hAnsi="Times New Roman"/>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firstLine="720"/>
        <w:jc w:val="left"/>
        <w:rPr>
          <w:rFonts w:ascii="Times New Roman" w:hAnsi="Times New Roman"/>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lineRule="auto" w:line="240" w:before="0" w:after="0"/>
        <w:ind w:left="720" w:right="72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firstLine="720"/>
        <w:jc w:val="left"/>
        <w:rPr>
          <w:rFonts w:ascii="Times New Roman" w:hAnsi="Times New Roman"/>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lineRule="auto" w:line="240" w:before="0" w:after="0"/>
        <w:ind w:left="720" w:right="72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firstLine="720"/>
        <w:jc w:val="left"/>
        <w:rPr>
          <w:rFonts w:ascii="Times New Roman" w:hAnsi="Times New Roman"/>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bidi w:val="0"/>
        <w:spacing w:lineRule="auto" w:line="240" w:before="0" w:after="0"/>
        <w:ind w:left="720" w:right="72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firstLine="720"/>
        <w:jc w:val="left"/>
        <w:rPr>
          <w:rFonts w:ascii="Times New Roman" w:hAnsi="Times New Roman"/>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bidi w:val="0"/>
        <w:spacing w:lineRule="auto" w:line="240" w:before="0" w:after="0"/>
        <w:ind w:left="720" w:right="72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hanging="0"/>
        <w:jc w:val="left"/>
        <w:rPr>
          <w:rFonts w:ascii="Times New Roman" w:hAnsi="Times New Roman"/>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lineRule="auto" w:line="240" w:before="0" w:after="0"/>
        <w:ind w:left="720" w:right="720"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firstLine="720"/>
        <w:jc w:val="left"/>
        <w:rPr>
          <w:rFonts w:ascii="Times New Roman" w:hAnsi="Times New Roman"/>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bidi w:val="0"/>
        <w:spacing w:lineRule="auto" w:line="240" w:before="0" w:after="0"/>
        <w:ind w:left="720" w:right="720" w:firstLine="72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720" w:right="720" w:firstLine="720"/>
        <w:jc w:val="left"/>
        <w:rPr>
          <w:rFonts w:ascii="Times New Roman" w:hAnsi="Times New Roman"/>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bidi w:val="0"/>
        <w:spacing w:lineRule="auto" w:line="240" w:before="0" w:after="0"/>
        <w:ind w:left="720" w:right="720" w:firstLine="720"/>
        <w:jc w:val="left"/>
        <w:rPr>
          <w:rFonts w:cs="Times New Roman"/>
          <w:szCs w:val="20"/>
        </w:rPr>
      </w:pPr>
      <w:r>
        <w:rPr>
          <w:rFonts w:cs="Times New Roman"/>
          <w:color w:val="000000"/>
          <w:szCs w:val="20"/>
        </w:rPr>
        <w:t>﻿</w:t>
      </w:r>
      <w:r>
        <w:rPr>
          <w:rFonts w:cs="Times New Roman"/>
          <w:szCs w:val="20"/>
        </w:rPr>
        <w:t xml:space="preserve"> </w:t>
      </w:r>
    </w:p>
    <w:tbl>
      <w:tblPr>
        <w:tblW w:w="8765" w:type="dxa"/>
        <w:jc w:val="left"/>
        <w:tblInd w:w="720" w:type="dxa"/>
        <w:tblLayout w:type="fixed"/>
        <w:tblCellMar>
          <w:top w:w="0" w:type="dxa"/>
          <w:left w:w="0" w:type="dxa"/>
          <w:bottom w:w="0" w:type="dxa"/>
          <w:right w:w="0" w:type="dxa"/>
        </w:tblCellMar>
      </w:tblPr>
      <w:tblGrid>
        <w:gridCol w:w="1613"/>
        <w:gridCol w:w="60"/>
        <w:gridCol w:w="7092"/>
      </w:tblGrid>
      <w:tr>
        <w:trPr/>
        <w:tc>
          <w:tcPr>
            <w:tcW w:w="1613" w:type="dxa"/>
            <w:tcBorders/>
          </w:tcPr>
          <w:p>
            <w:pPr>
              <w:pStyle w:val="TableContents"/>
              <w:bidi w:val="0"/>
              <w:spacing w:lineRule="auto" w:line="256" w:before="0" w:after="0"/>
              <w:ind w:left="0" w:right="0" w:hanging="0"/>
              <w:jc w:val="left"/>
              <w:rPr>
                <w:rFonts w:cs="Times New Roman"/>
                <w:szCs w:val="2"/>
              </w:rPr>
            </w:pPr>
            <w:r>
              <w:rPr>
                <w:rFonts w:cs="Times New Roman"/>
                <w:szCs w:val="2"/>
              </w:rPr>
              <w:t>﻿</w:t>
            </w:r>
          </w:p>
        </w:tc>
        <w:tc>
          <w:tcPr>
            <w:tcW w:w="60" w:type="dxa"/>
            <w:tcBorders/>
          </w:tcPr>
          <w:p>
            <w:pPr>
              <w:pStyle w:val="TableContents"/>
              <w:bidi w:val="0"/>
              <w:spacing w:lineRule="auto" w:line="256" w:before="0" w:after="0"/>
              <w:ind w:left="0" w:right="0" w:hanging="0"/>
              <w:jc w:val="left"/>
              <w:rPr/>
            </w:pPr>
            <w:r>
              <w:rPr/>
              <w:t> </w:t>
            </w:r>
          </w:p>
        </w:tc>
        <w:tc>
          <w:tcPr>
            <w:tcW w:w="7092" w:type="dxa"/>
            <w:tcBorders/>
            <w:vAlign w:val="bottom"/>
          </w:tcPr>
          <w:p>
            <w:pPr>
              <w:pStyle w:val="TableContents"/>
              <w:bidi w:val="0"/>
              <w:spacing w:lineRule="auto" w:line="256" w:before="0" w:after="0"/>
              <w:ind w:left="0" w:right="0" w:hanging="0"/>
              <w:jc w:val="left"/>
              <w:rPr/>
            </w:pPr>
            <w:r>
              <w:rPr/>
              <w:t> </w:t>
            </w:r>
          </w:p>
        </w:tc>
      </w:tr>
      <w:tr>
        <w:trPr/>
        <w:tc>
          <w:tcPr>
            <w:tcW w:w="1613" w:type="dxa"/>
            <w:tcBorders/>
          </w:tcPr>
          <w:p>
            <w:pPr>
              <w:pStyle w:val="TableContents"/>
              <w:bidi w:val="0"/>
              <w:spacing w:lineRule="auto" w:line="256" w:before="0" w:after="0"/>
              <w:ind w:left="0" w:right="0" w:hanging="0"/>
              <w:jc w:val="left"/>
              <w:rPr>
                <w:rFonts w:ascii="Times New Roman" w:hAnsi="Times New Roman"/>
                <w:sz w:val="20"/>
              </w:rPr>
            </w:pPr>
            <w:r>
              <w:rPr>
                <w:rFonts w:ascii="Times New Roman" w:hAnsi="Times New Roman"/>
                <w:sz w:val="20"/>
              </w:rPr>
              <w:t>Date:   August 6, 2026</w:t>
            </w:r>
          </w:p>
        </w:tc>
        <w:tc>
          <w:tcPr>
            <w:tcW w:w="60" w:type="dxa"/>
            <w:tcBorders/>
          </w:tcPr>
          <w:p>
            <w:pPr>
              <w:pStyle w:val="TableContents"/>
              <w:bidi w:val="0"/>
              <w:spacing w:lineRule="auto" w:line="256" w:before="0" w:after="0"/>
              <w:ind w:left="0" w:right="0" w:hanging="0"/>
              <w:jc w:val="left"/>
              <w:rPr/>
            </w:pPr>
            <w:r>
              <w:rPr/>
              <w:t> </w:t>
            </w:r>
          </w:p>
        </w:tc>
        <w:tc>
          <w:tcPr>
            <w:tcW w:w="7092" w:type="dxa"/>
            <w:tcBorders>
              <w:bottom w:val="single" w:sz="8" w:space="0" w:color="000000"/>
            </w:tcBorders>
            <w:tcMar>
              <w:bottom w:w="28" w:type="dxa"/>
            </w:tcMar>
            <w:vAlign w:val="bottom"/>
          </w:tcPr>
          <w:p>
            <w:pPr>
              <w:pStyle w:val="TableContents"/>
              <w:bidi w:val="0"/>
              <w:spacing w:lineRule="auto" w:line="256" w:before="0" w:after="0"/>
              <w:ind w:left="0" w:right="0" w:hanging="0"/>
              <w:jc w:val="right"/>
              <w:rPr>
                <w:rFonts w:ascii="Times New Roman" w:hAnsi="Times New Roman"/>
                <w:color w:val="000000"/>
                <w:sz w:val="20"/>
              </w:rPr>
            </w:pPr>
            <w:r>
              <w:rPr>
                <w:rFonts w:ascii="Times New Roman" w:hAnsi="Times New Roman"/>
                <w:color w:val="000000"/>
                <w:sz w:val="20"/>
              </w:rPr>
              <w:t>/s/ David A. Frank</w:t>
            </w:r>
          </w:p>
        </w:tc>
      </w:tr>
      <w:tr>
        <w:trPr/>
        <w:tc>
          <w:tcPr>
            <w:tcW w:w="1613" w:type="dxa"/>
            <w:tcBorders/>
          </w:tcPr>
          <w:p>
            <w:pPr>
              <w:pStyle w:val="TableContents"/>
              <w:bidi w:val="0"/>
              <w:spacing w:lineRule="auto" w:line="256"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lineRule="auto" w:line="256" w:before="0" w:after="0"/>
              <w:ind w:left="0" w:right="0" w:hanging="0"/>
              <w:jc w:val="left"/>
              <w:rPr/>
            </w:pPr>
            <w:r>
              <w:rPr/>
              <w:t> </w:t>
            </w:r>
          </w:p>
        </w:tc>
        <w:tc>
          <w:tcPr>
            <w:tcW w:w="7092" w:type="dxa"/>
            <w:tcBorders>
              <w:top w:val="single" w:sz="8" w:space="0" w:color="000000"/>
            </w:tcBorders>
            <w:tcMar>
              <w:top w:w="28" w:type="dxa"/>
            </w:tcMar>
            <w:vAlign w:val="bottom"/>
          </w:tcPr>
          <w:p>
            <w:pPr>
              <w:pStyle w:val="TableContents"/>
              <w:bidi w:val="0"/>
              <w:spacing w:lineRule="auto" w:line="256" w:before="0" w:after="0"/>
              <w:ind w:left="0" w:right="0" w:hanging="0"/>
              <w:jc w:val="right"/>
              <w:rPr>
                <w:rFonts w:ascii="Times New Roman" w:hAnsi="Times New Roman"/>
                <w:color w:val="000000"/>
                <w:sz w:val="20"/>
              </w:rPr>
            </w:pPr>
            <w:r>
              <w:rPr>
                <w:rFonts w:ascii="Times New Roman" w:hAnsi="Times New Roman"/>
                <w:color w:val="000000"/>
                <w:sz w:val="20"/>
              </w:rPr>
              <w:t>David A. Frank</w:t>
            </w:r>
          </w:p>
        </w:tc>
      </w:tr>
      <w:tr>
        <w:trPr/>
        <w:tc>
          <w:tcPr>
            <w:tcW w:w="1613" w:type="dxa"/>
            <w:tcBorders/>
          </w:tcPr>
          <w:p>
            <w:pPr>
              <w:pStyle w:val="TableContents"/>
              <w:bidi w:val="0"/>
              <w:spacing w:lineRule="auto" w:line="256"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lineRule="auto" w:line="256" w:before="0" w:after="0"/>
              <w:ind w:left="0" w:right="0" w:hanging="0"/>
              <w:jc w:val="left"/>
              <w:rPr/>
            </w:pPr>
            <w:r>
              <w:rPr/>
              <w:t> </w:t>
            </w:r>
          </w:p>
        </w:tc>
        <w:tc>
          <w:tcPr>
            <w:tcW w:w="7092" w:type="dxa"/>
            <w:tcBorders/>
            <w:vAlign w:val="bottom"/>
          </w:tcPr>
          <w:p>
            <w:pPr>
              <w:pStyle w:val="TableContents"/>
              <w:bidi w:val="0"/>
              <w:spacing w:lineRule="auto" w:line="256" w:before="0" w:after="0"/>
              <w:ind w:left="0" w:right="0" w:hanging="0"/>
              <w:jc w:val="right"/>
              <w:rPr>
                <w:rFonts w:ascii="Times New Roman" w:hAnsi="Times New Roman"/>
                <w:color w:val="000000"/>
                <w:sz w:val="20"/>
              </w:rPr>
            </w:pPr>
            <w:r>
              <w:rPr>
                <w:rFonts w:ascii="Times New Roman" w:hAnsi="Times New Roman"/>
                <w:color w:val="000000"/>
                <w:sz w:val="20"/>
              </w:rPr>
              <w:t>Interim Chief Executive Officer, Chief Financial Officer and Treasurer (Principal Executive Officer and Principal Financial Officer)</w:t>
            </w:r>
          </w:p>
        </w:tc>
      </w:tr>
      <w:tr>
        <w:trPr/>
        <w:tc>
          <w:tcPr>
            <w:tcW w:w="1613" w:type="dxa"/>
            <w:tcBorders/>
          </w:tcPr>
          <w:p>
            <w:pPr>
              <w:pStyle w:val="TableContents"/>
              <w:bidi w:val="0"/>
              <w:spacing w:lineRule="auto" w:line="256" w:before="0" w:after="0"/>
              <w:ind w:left="0" w:right="0" w:hanging="0"/>
              <w:jc w:val="left"/>
              <w:rPr>
                <w:rFonts w:cs="Times New Roman"/>
                <w:szCs w:val="20"/>
              </w:rPr>
            </w:pPr>
            <w:r>
              <w:rPr>
                <w:rFonts w:cs="Times New Roman"/>
                <w:szCs w:val="20"/>
              </w:rPr>
              <w:t>﻿</w:t>
            </w:r>
          </w:p>
        </w:tc>
        <w:tc>
          <w:tcPr>
            <w:tcW w:w="60" w:type="dxa"/>
            <w:tcBorders/>
          </w:tcPr>
          <w:p>
            <w:pPr>
              <w:pStyle w:val="TableContents"/>
              <w:bidi w:val="0"/>
              <w:spacing w:lineRule="auto" w:line="256" w:before="0" w:after="0"/>
              <w:ind w:left="0" w:right="0" w:hanging="0"/>
              <w:jc w:val="left"/>
              <w:rPr/>
            </w:pPr>
            <w:r>
              <w:rPr/>
              <w:t> </w:t>
            </w:r>
          </w:p>
        </w:tc>
        <w:tc>
          <w:tcPr>
            <w:tcW w:w="7092" w:type="dxa"/>
            <w:tcBorders/>
            <w:vAlign w:val="bottom"/>
          </w:tcPr>
          <w:p>
            <w:pPr>
              <w:pStyle w:val="TableContents"/>
              <w:bidi w:val="0"/>
              <w:spacing w:lineRule="auto" w:line="256" w:before="0" w:after="0"/>
              <w:ind w:left="0" w:right="0" w:hanging="0"/>
              <w:jc w:val="left"/>
              <w:rPr/>
            </w:pPr>
            <w:r>
              <w:rPr/>
              <w:t> </w:t>
            </w:r>
          </w:p>
        </w:tc>
      </w:tr>
    </w:tbl>
    <w:p>
      <w:pPr>
        <w:pStyle w:val="TextBody"/>
        <w:bidi w:val="0"/>
        <w:spacing w:lineRule="auto" w:line="256" w:before="0" w:after="160"/>
        <w:ind w:left="720" w:right="720" w:hanging="0"/>
        <w:jc w:val="left"/>
        <w:rPr>
          <w:rFonts w:cs="Times New Roman"/>
          <w:szCs w:val="20"/>
        </w:rPr>
      </w:pP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Calibri" w:hAnsi="Calibri"/>
          <w:sz w:val="20"/>
        </w:rPr>
      </w:pPr>
      <w:bookmarkStart w:id="41" w:name="aqb-20260630xex32_1.htm"/>
      <w:bookmarkStart w:id="42" w:name="ksaqb20260630xex32_1"/>
      <w:bookmarkEnd w:id="41"/>
      <w:bookmarkEnd w:id="42"/>
      <w:r>
        <w:rPr>
          <w:rFonts w:ascii="Times New Roman" w:hAnsi="Times New Roman"/>
          <w:b/>
          <w:color w:val="000000"/>
          <w:sz w:val="20"/>
        </w:rPr>
        <w:t>EXHIBIT 32.1</w:t>
      </w:r>
      <w:r>
        <w:rPr>
          <w:rFonts w:ascii="Calibri" w:hAnsi="Calibri"/>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720" w:right="720" w:hanging="0"/>
        <w:jc w:val="left"/>
        <w:rPr>
          <w:rFonts w:ascii="Calibri" w:hAnsi="Calibri"/>
          <w:sz w:val="20"/>
        </w:rPr>
      </w:pPr>
      <w:r>
        <w:rPr>
          <w:rFonts w:ascii="Times New Roman" w:hAnsi="Times New Roman"/>
          <w:b/>
          <w:color w:val="000000"/>
          <w:sz w:val="20"/>
        </w:rPr>
        <w:t>The following certification is being made to the Securities and Exchange Commission solely for purposes of Section 906 of the Sarbanes-Oxley Act of 2002 (18 U.S.C. 1350). This certification is not to be deemed a part of the Report, nor is it deemed to be “filed” for any purpose whatsoever.</w:t>
      </w:r>
      <w:r>
        <w:rPr>
          <w:rFonts w:ascii="Calibri" w:hAnsi="Calibri"/>
          <w:sz w:val="20"/>
        </w:rPr>
        <w:t xml:space="preserve"> </w:t>
      </w:r>
    </w:p>
    <w:p>
      <w:pPr>
        <w:pStyle w:val="TextBody"/>
        <w:bidi w:val="0"/>
        <w:spacing w:lineRule="auto" w:line="240" w:before="0" w:after="0"/>
        <w:ind w:left="720" w:right="720" w:hanging="0"/>
        <w:jc w:val="left"/>
        <w:rPr>
          <w:rFonts w:cs="Calibri"/>
          <w:szCs w:val="20"/>
        </w:rPr>
      </w:pPr>
      <w:r>
        <w:rPr>
          <w:rFonts w:cs="Times New Roman"/>
          <w:color w:val="000000"/>
          <w:szCs w:val="20"/>
        </w:rPr>
        <w:t>﻿</w:t>
      </w:r>
      <w:r>
        <w:rPr>
          <w:rFonts w:cs="Calibri"/>
          <w:szCs w:val="20"/>
        </w:rPr>
        <w:t xml:space="preserve"> </w:t>
      </w:r>
    </w:p>
    <w:p>
      <w:pPr>
        <w:pStyle w:val="TextBody"/>
        <w:bidi w:val="0"/>
        <w:spacing w:lineRule="auto" w:line="240" w:before="0" w:after="0"/>
        <w:ind w:left="720" w:right="720" w:hanging="0"/>
        <w:jc w:val="left"/>
        <w:rPr>
          <w:rFonts w:ascii="Calibri" w:hAnsi="Calibri"/>
          <w:sz w:val="20"/>
        </w:rPr>
      </w:pPr>
      <w:r>
        <w:rPr>
          <w:rFonts w:ascii="Times New Roman" w:hAnsi="Times New Roman"/>
          <w:color w:val="000000"/>
          <w:sz w:val="20"/>
        </w:rPr>
        <w:t>In accordance with the requirements of Section 906 of the Sarbanes-Oxley Act of 2002 (18 USC 1350), the undersigned hereby certifies, to his knowledge, that:</w:t>
      </w:r>
      <w:r>
        <w:rPr>
          <w:rFonts w:ascii="Calibri" w:hAnsi="Calibri"/>
          <w:sz w:val="20"/>
        </w:rPr>
        <w:t xml:space="preserve"> </w:t>
      </w:r>
    </w:p>
    <w:p>
      <w:pPr>
        <w:pStyle w:val="TextBody"/>
        <w:bidi w:val="0"/>
        <w:spacing w:lineRule="auto" w:line="240" w:before="0" w:after="0"/>
        <w:ind w:left="720" w:right="720" w:hanging="0"/>
        <w:jc w:val="left"/>
        <w:rPr>
          <w:rFonts w:cs="Calibri"/>
          <w:szCs w:val="20"/>
        </w:rPr>
      </w:pPr>
      <w:r>
        <w:rPr>
          <w:rFonts w:cs="Times New Roman"/>
          <w:color w:val="000000"/>
          <w:szCs w:val="20"/>
        </w:rPr>
        <w:t>﻿</w:t>
      </w:r>
      <w:r>
        <w:rPr>
          <w:rFonts w:cs="Calibri"/>
          <w:szCs w:val="20"/>
        </w:rPr>
        <w:t xml:space="preserve"> </w:t>
      </w:r>
    </w:p>
    <w:p>
      <w:pPr>
        <w:pStyle w:val="TextBody"/>
        <w:bidi w:val="0"/>
        <w:spacing w:lineRule="auto" w:line="240" w:before="0" w:after="0"/>
        <w:ind w:left="720" w:right="720" w:firstLine="720"/>
        <w:jc w:val="left"/>
        <w:rPr>
          <w:rFonts w:ascii="Calibri" w:hAnsi="Calibri"/>
          <w:sz w:val="20"/>
        </w:rPr>
      </w:pPr>
      <w:r>
        <w:rPr>
          <w:rFonts w:ascii="Times New Roman" w:hAnsi="Times New Roman"/>
          <w:color w:val="000000"/>
          <w:sz w:val="20"/>
        </w:rPr>
        <w:t>(i) the Quarterly Report on Form 10-Q for the quarterly period ended</w:t>
      </w:r>
      <w:r>
        <w:rPr>
          <w:rFonts w:ascii="Calibri" w:hAnsi="Calibri"/>
          <w:color w:val="000000"/>
          <w:sz w:val="20"/>
        </w:rPr>
        <w:t> </w:t>
      </w:r>
      <w:r>
        <w:rPr>
          <w:rFonts w:ascii="Times New Roman" w:hAnsi="Times New Roman"/>
          <w:color w:val="000000"/>
          <w:sz w:val="20"/>
        </w:rPr>
        <w:t>June 30, 2026, which this statement accompanies, fully complies with the requirements of section 13(a) or 15(d) of the Securities Exchange Act of 1934 (15 U.S.C. 78m or 78o(d)); and</w:t>
      </w:r>
      <w:r>
        <w:rPr>
          <w:rFonts w:ascii="Calibri" w:hAnsi="Calibri"/>
          <w:sz w:val="20"/>
        </w:rPr>
        <w:t xml:space="preserve"> </w:t>
      </w:r>
    </w:p>
    <w:p>
      <w:pPr>
        <w:pStyle w:val="TextBody"/>
        <w:bidi w:val="0"/>
        <w:spacing w:lineRule="auto" w:line="240" w:before="0" w:after="0"/>
        <w:ind w:left="720" w:right="720" w:firstLine="720"/>
        <w:jc w:val="left"/>
        <w:rPr>
          <w:rFonts w:cs="Calibri"/>
          <w:szCs w:val="20"/>
        </w:rPr>
      </w:pPr>
      <w:r>
        <w:rPr>
          <w:rFonts w:cs="Times New Roman"/>
          <w:color w:val="000000"/>
          <w:szCs w:val="20"/>
        </w:rPr>
        <w:t>﻿</w:t>
      </w:r>
      <w:r>
        <w:rPr>
          <w:rFonts w:cs="Calibri"/>
          <w:szCs w:val="20"/>
        </w:rPr>
        <w:t xml:space="preserve"> </w:t>
      </w:r>
    </w:p>
    <w:p>
      <w:pPr>
        <w:pStyle w:val="TextBody"/>
        <w:bidi w:val="0"/>
        <w:spacing w:lineRule="auto" w:line="240" w:before="0" w:after="0"/>
        <w:ind w:left="720" w:right="720" w:firstLine="720"/>
        <w:jc w:val="left"/>
        <w:rPr>
          <w:rFonts w:ascii="Calibri" w:hAnsi="Calibri"/>
          <w:sz w:val="20"/>
        </w:rPr>
      </w:pPr>
      <w:r>
        <w:rPr>
          <w:rFonts w:ascii="Times New Roman" w:hAnsi="Times New Roman"/>
          <w:color w:val="000000"/>
          <w:sz w:val="20"/>
        </w:rPr>
        <w:t>(ii) the information contained in the Quarterly Report on Form 10-Q for the quarterly period ended</w:t>
      </w:r>
      <w:r>
        <w:rPr>
          <w:rFonts w:ascii="Calibri" w:hAnsi="Calibri"/>
          <w:color w:val="000000"/>
          <w:sz w:val="20"/>
        </w:rPr>
        <w:t> </w:t>
      </w:r>
      <w:r>
        <w:rPr>
          <w:rFonts w:ascii="Times New Roman" w:hAnsi="Times New Roman"/>
          <w:color w:val="000000"/>
          <w:sz w:val="20"/>
        </w:rPr>
        <w:t>June 30, 2026,</w:t>
      </w:r>
      <w:r>
        <w:rPr>
          <w:rFonts w:ascii="Calibri" w:hAnsi="Calibri"/>
          <w:color w:val="000000"/>
          <w:sz w:val="20"/>
        </w:rPr>
        <w:t xml:space="preserve"> </w:t>
      </w:r>
      <w:r>
        <w:rPr>
          <w:rFonts w:ascii="Times New Roman" w:hAnsi="Times New Roman"/>
          <w:color w:val="000000"/>
          <w:sz w:val="20"/>
        </w:rPr>
        <w:t>fairly presents, in all material respects, the financial condition and results of operations of AquaBounty Technologies, Inc.</w:t>
      </w:r>
      <w:r>
        <w:rPr>
          <w:rFonts w:ascii="Calibri" w:hAnsi="Calibri"/>
          <w:sz w:val="20"/>
        </w:rPr>
        <w:t xml:space="preserve"> </w:t>
      </w:r>
    </w:p>
    <w:p>
      <w:pPr>
        <w:pStyle w:val="TextBody"/>
        <w:bidi w:val="0"/>
        <w:spacing w:lineRule="auto" w:line="240" w:before="0" w:after="0"/>
        <w:ind w:left="720" w:right="720" w:firstLine="720"/>
        <w:jc w:val="left"/>
        <w:rPr>
          <w:rFonts w:cs="Calibri"/>
          <w:szCs w:val="20"/>
        </w:rPr>
      </w:pPr>
      <w:r>
        <w:rPr>
          <w:rFonts w:cs="Times New Roman"/>
          <w:color w:val="000000"/>
          <w:szCs w:val="20"/>
        </w:rPr>
        <w:t>﻿</w:t>
      </w:r>
      <w:r>
        <w:rPr>
          <w:rFonts w:cs="Calibri"/>
          <w:szCs w:val="20"/>
        </w:rPr>
        <w:t xml:space="preserve"> </w:t>
      </w:r>
    </w:p>
    <w:p>
      <w:pPr>
        <w:pStyle w:val="TextBody"/>
        <w:bidi w:val="0"/>
        <w:spacing w:lineRule="auto" w:line="240" w:before="0" w:after="0"/>
        <w:ind w:left="720" w:right="720" w:hanging="0"/>
        <w:jc w:val="left"/>
        <w:rPr>
          <w:rFonts w:ascii="Calibri" w:hAnsi="Calibri"/>
          <w:sz w:val="20"/>
        </w:rPr>
      </w:pPr>
      <w:r>
        <w:rPr>
          <w:rFonts w:ascii="Times New Roman" w:hAnsi="Times New Roman"/>
          <w:color w:val="000000"/>
          <w:sz w:val="20"/>
        </w:rPr>
        <w:t>Dated as of this</w:t>
      </w:r>
      <w:r>
        <w:rPr>
          <w:rFonts w:ascii="Calibri" w:hAnsi="Calibri"/>
          <w:color w:val="000000"/>
          <w:sz w:val="20"/>
        </w:rPr>
        <w:t> </w:t>
      </w:r>
      <w:r>
        <w:rPr>
          <w:rFonts w:ascii="Times New Roman" w:hAnsi="Times New Roman"/>
          <w:color w:val="000000"/>
          <w:sz w:val="20"/>
        </w:rPr>
        <w:t>6th</w:t>
      </w:r>
      <w:r>
        <w:rPr>
          <w:rFonts w:ascii="Calibri" w:hAnsi="Calibri"/>
          <w:color w:val="000000"/>
          <w:sz w:val="20"/>
        </w:rPr>
        <w:t> </w:t>
      </w:r>
      <w:r>
        <w:rPr>
          <w:rFonts w:ascii="Times New Roman" w:hAnsi="Times New Roman"/>
          <w:color w:val="000000"/>
          <w:sz w:val="20"/>
        </w:rPr>
        <w:t>day of</w:t>
      </w:r>
      <w:r>
        <w:rPr>
          <w:rFonts w:ascii="Calibri" w:hAnsi="Calibri"/>
          <w:color w:val="000000"/>
          <w:sz w:val="20"/>
        </w:rPr>
        <w:t xml:space="preserve"> </w:t>
      </w:r>
      <w:r>
        <w:rPr>
          <w:rFonts w:ascii="Times New Roman" w:hAnsi="Times New Roman"/>
          <w:color w:val="000000"/>
          <w:sz w:val="20"/>
        </w:rPr>
        <w:t>August, 2026.</w:t>
      </w:r>
      <w:r>
        <w:rPr>
          <w:rFonts w:ascii="Calibri" w:hAnsi="Calibri"/>
          <w:sz w:val="20"/>
        </w:rPr>
        <w:t xml:space="preserve"> </w:t>
      </w:r>
    </w:p>
    <w:p>
      <w:pPr>
        <w:pStyle w:val="TextBody"/>
        <w:bidi w:val="0"/>
        <w:spacing w:lineRule="auto" w:line="240" w:before="0" w:after="0"/>
        <w:ind w:left="720" w:right="720" w:hanging="0"/>
        <w:jc w:val="left"/>
        <w:rPr>
          <w:rFonts w:cs="Calibri"/>
          <w:szCs w:val="20"/>
        </w:rPr>
      </w:pPr>
      <w:r>
        <w:rPr>
          <w:rFonts w:cs="Times New Roman"/>
          <w:color w:val="000000"/>
          <w:szCs w:val="20"/>
        </w:rPr>
        <w:t>﻿</w:t>
      </w:r>
      <w:r>
        <w:rPr>
          <w:rFonts w:cs="Calibri"/>
          <w:szCs w:val="20"/>
        </w:rPr>
        <w:t xml:space="preserve"> </w:t>
      </w:r>
    </w:p>
    <w:p>
      <w:pPr>
        <w:pStyle w:val="TextBody"/>
        <w:bidi w:val="0"/>
        <w:spacing w:lineRule="auto" w:line="256" w:before="0" w:after="160"/>
        <w:ind w:left="720" w:right="720" w:hanging="0"/>
        <w:jc w:val="left"/>
        <w:rPr>
          <w:rFonts w:cs="Calibri"/>
          <w:szCs w:val="22"/>
        </w:rPr>
      </w:pPr>
      <w:r>
        <w:rPr>
          <w:rFonts w:cs="Calibri"/>
          <w:szCs w:val="22"/>
        </w:rPr>
        <w:t xml:space="preserve">﻿ </w:t>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5565775" cy="1395730"/>
                <wp:effectExtent l="0" t="0" r="0" b="0"/>
                <wp:wrapSquare wrapText="left"/>
                <wp:docPr id="1" name="Frame1"/>
                <a:graphic xmlns:a="http://schemas.openxmlformats.org/drawingml/2006/main">
                  <a:graphicData uri="http://schemas.microsoft.com/office/word/2010/wordprocessingShape">
                    <wps:wsp>
                      <wps:cNvSpPr txBox="1"/>
                      <wps:spPr>
                        <a:xfrm>
                          <a:off x="0" y="0"/>
                          <a:ext cx="5565775" cy="1395730"/>
                        </a:xfrm>
                        <a:prstGeom prst="rect"/>
                        <a:solidFill>
                          <a:srgbClr val="FFFFFF"/>
                        </a:solidFill>
                      </wps:spPr>
                      <wps:txbx>
                        <w:txbxContent>
                          <w:tbl>
                            <w:tblPr>
                              <w:tblW w:w="8765" w:type="dxa"/>
                              <w:jc w:val="left"/>
                              <w:tblInd w:w="0" w:type="dxa"/>
                              <w:tblLayout w:type="fixed"/>
                              <w:tblCellMar>
                                <w:top w:w="0" w:type="dxa"/>
                                <w:left w:w="0" w:type="dxa"/>
                                <w:bottom w:w="0" w:type="dxa"/>
                                <w:right w:w="0" w:type="dxa"/>
                              </w:tblCellMar>
                            </w:tblPr>
                            <w:tblGrid>
                              <w:gridCol w:w="5822"/>
                              <w:gridCol w:w="2943"/>
                            </w:tblGrid>
                            <w:tr>
                              <w:trPr/>
                              <w:tc>
                                <w:tcPr>
                                  <w:tcW w:w="5822" w:type="dxa"/>
                                  <w:tcBorders/>
                                  <w:vAlign w:val="bottom"/>
                                </w:tcPr>
                                <w:p>
                                  <w:pPr>
                                    <w:pStyle w:val="TableContents"/>
                                    <w:bidi w:val="0"/>
                                    <w:spacing w:lineRule="auto" w:line="256" w:before="0" w:after="0"/>
                                    <w:ind w:left="0" w:right="0" w:hanging="0"/>
                                    <w:jc w:val="left"/>
                                    <w:rPr>
                                      <w:rFonts w:cs="Calibri"/>
                                      <w:szCs w:val="2"/>
                                    </w:rPr>
                                  </w:pPr>
                                  <w:r>
                                    <w:rPr>
                                      <w:rFonts w:cs="Calibri"/>
                                      <w:szCs w:val="2"/>
                                    </w:rPr>
                                    <w:t>﻿</w:t>
                                  </w:r>
                                </w:p>
                                <w:p>
                                  <w:pPr>
                                    <w:pStyle w:val="TableContents"/>
                                    <w:bidi w:val="0"/>
                                    <w:spacing w:lineRule="auto" w:line="256" w:before="0" w:after="0"/>
                                    <w:ind w:left="0" w:right="0" w:hanging="0"/>
                                    <w:jc w:val="left"/>
                                    <w:rPr/>
                                  </w:pPr>
                                  <w:r>
                                    <w:rPr/>
                                    <w:t> </w:t>
                                  </w:r>
                                </w:p>
                                <w:p>
                                  <w:pPr>
                                    <w:pStyle w:val="TableContents"/>
                                    <w:bidi w:val="0"/>
                                    <w:spacing w:lineRule="auto" w:line="256" w:before="0" w:after="0"/>
                                    <w:ind w:left="0" w:right="0" w:hanging="0"/>
                                    <w:jc w:val="left"/>
                                    <w:rPr/>
                                  </w:pPr>
                                  <w:r>
                                    <w:rPr/>
                                    <w:t> </w:t>
                                  </w:r>
                                </w:p>
                                <w:p>
                                  <w:pPr>
                                    <w:pStyle w:val="TableContents"/>
                                    <w:bidi w:val="0"/>
                                    <w:spacing w:lineRule="auto" w:line="256" w:before="0" w:after="0"/>
                                    <w:ind w:left="0" w:right="0" w:hanging="0"/>
                                    <w:jc w:val="left"/>
                                    <w:rPr/>
                                  </w:pPr>
                                  <w:r>
                                    <w:rPr/>
                                    <w:t> </w:t>
                                  </w:r>
                                </w:p>
                                <w:p>
                                  <w:pPr>
                                    <w:pStyle w:val="TableContents"/>
                                    <w:bidi w:val="0"/>
                                    <w:spacing w:lineRule="auto" w:line="256" w:before="0" w:after="0"/>
                                    <w:ind w:left="0" w:right="0" w:hanging="0"/>
                                    <w:jc w:val="left"/>
                                    <w:rPr/>
                                  </w:pPr>
                                  <w:r>
                                    <w:rPr/>
                                    <w:t> </w:t>
                                  </w:r>
                                </w:p>
                              </w:tc>
                              <w:tc>
                                <w:tcPr>
                                  <w:tcW w:w="2943" w:type="dxa"/>
                                  <w:tcBorders/>
                                </w:tcPr>
                                <w:p>
                                  <w:pPr>
                                    <w:pStyle w:val="TableContents"/>
                                    <w:bidi w:val="0"/>
                                    <w:spacing w:before="0" w:after="283"/>
                                    <w:jc w:val="left"/>
                                    <w:rPr>
                                      <w:sz w:val="4"/>
                                      <w:szCs w:val="4"/>
                                    </w:rPr>
                                  </w:pPr>
                                  <w:r>
                                    <w:rPr>
                                      <w:sz w:val="4"/>
                                      <w:szCs w:val="4"/>
                                    </w:rPr>
                                  </w:r>
                                </w:p>
                              </w:tc>
                            </w:tr>
                            <w:tr>
                              <w:trPr/>
                              <w:tc>
                                <w:tcPr>
                                  <w:tcW w:w="8765" w:type="dxa"/>
                                  <w:gridSpan w:val="2"/>
                                  <w:tcBorders/>
                                  <w:vAlign w:val="bottom"/>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/s/ David A. Frank</w:t>
                                  </w:r>
                                </w:p>
                              </w:tc>
                            </w:tr>
                            <w:tr>
                              <w:trPr/>
                              <w:tc>
                                <w:tcPr>
                                  <w:tcW w:w="8765" w:type="dxa"/>
                                  <w:gridSpan w:val="2"/>
                                  <w:tcBorders>
                                    <w:top w:val="single" w:sz="8" w:space="0" w:color="000000"/>
                                  </w:tcBorders>
                                  <w:tcMar>
                                    <w:top w:w="36" w:type="dxa"/>
                                  </w:tcMar>
                                  <w:vAlign w:val="bottom"/>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David A. Frank</w:t>
                                  </w:r>
                                </w:p>
                                <w:p>
                                  <w:pPr>
                                    <w:pStyle w:val="TableContents"/>
                                    <w:bidi w:val="0"/>
                                    <w:spacing w:lineRule="auto" w:line="240" w:before="0" w:after="0"/>
                                    <w:ind w:left="0" w:right="0" w:hanging="0"/>
                                    <w:jc w:val="right"/>
                                    <w:rPr>
                                      <w:rFonts w:ascii="Calibri" w:hAnsi="Calibri"/>
                                      <w:sz w:val="20"/>
                                    </w:rPr>
                                  </w:pPr>
                                  <w:r>
                                    <w:rPr>
                                      <w:rFonts w:ascii="Times New Roman" w:hAnsi="Times New Roman"/>
                                      <w:color w:val="000000"/>
                                      <w:sz w:val="20"/>
                                    </w:rPr>
                                    <w:t>Interim Chief Executive Officer, Chief Financial Officer and Treasurer</w:t>
                                  </w:r>
                                  <w:r>
                                    <w:rPr>
                                      <w:rFonts w:ascii="Calibri" w:hAnsi="Calibri"/>
                                      <w:color w:val="000000"/>
                                      <w:sz w:val="20"/>
                                    </w:rPr>
                                    <w:t xml:space="preserve"> </w:t>
                                  </w:r>
                                  <w:r>
                                    <w:rPr>
                                      <w:rFonts w:ascii="Times New Roman" w:hAnsi="Times New Roman"/>
                                      <w:color w:val="000000"/>
                                      <w:sz w:val="20"/>
                                    </w:rPr>
                                    <w:t>(Principal Executive Officer and Principal Financial Officer)</w:t>
                                  </w:r>
                                </w:p>
                              </w:tc>
                            </w:tr>
                          </w:tbl>
                        </w:txbxContent>
                      </wps:txbx>
                      <wps:bodyPr anchor="t" lIns="0" tIns="0" rIns="0" bIns="0">
                        <a:noAutofit/>
                      </wps:bodyPr>
                    </wps:wsp>
                  </a:graphicData>
                </a:graphic>
              </wp:anchor>
            </w:drawing>
          </mc:Choice>
          <mc:Fallback>
            <w:pict>
              <v:rect style="position:absolute;rotation:-0;width:438.25pt;height:109.9pt;mso-wrap-distance-left:0pt;mso-wrap-distance-right:0pt;mso-wrap-distance-top:0pt;mso-wrap-distance-bottom:0pt;margin-top:0pt;mso-position-vertical:top;mso-position-vertical-relative:text;margin-left:0pt;mso-position-horizontal:right;mso-position-horizontal-relative:text">
                <v:textbox>
                  <w:txbxContent>
                    <w:tbl>
                      <w:tblPr>
                        <w:tblW w:w="8765" w:type="dxa"/>
                        <w:jc w:val="left"/>
                        <w:tblInd w:w="0" w:type="dxa"/>
                        <w:tblLayout w:type="fixed"/>
                        <w:tblCellMar>
                          <w:top w:w="0" w:type="dxa"/>
                          <w:left w:w="0" w:type="dxa"/>
                          <w:bottom w:w="0" w:type="dxa"/>
                          <w:right w:w="0" w:type="dxa"/>
                        </w:tblCellMar>
                      </w:tblPr>
                      <w:tblGrid>
                        <w:gridCol w:w="5822"/>
                        <w:gridCol w:w="2943"/>
                      </w:tblGrid>
                      <w:tr>
                        <w:trPr/>
                        <w:tc>
                          <w:tcPr>
                            <w:tcW w:w="5822" w:type="dxa"/>
                            <w:tcBorders/>
                            <w:vAlign w:val="bottom"/>
                          </w:tcPr>
                          <w:p>
                            <w:pPr>
                              <w:pStyle w:val="TableContents"/>
                              <w:bidi w:val="0"/>
                              <w:spacing w:lineRule="auto" w:line="256" w:before="0" w:after="0"/>
                              <w:ind w:left="0" w:right="0" w:hanging="0"/>
                              <w:jc w:val="left"/>
                              <w:rPr>
                                <w:rFonts w:cs="Calibri"/>
                                <w:szCs w:val="2"/>
                              </w:rPr>
                            </w:pPr>
                            <w:r>
                              <w:rPr>
                                <w:rFonts w:cs="Calibri"/>
                                <w:szCs w:val="2"/>
                              </w:rPr>
                              <w:t>﻿</w:t>
                            </w:r>
                          </w:p>
                          <w:p>
                            <w:pPr>
                              <w:pStyle w:val="TableContents"/>
                              <w:bidi w:val="0"/>
                              <w:spacing w:lineRule="auto" w:line="256" w:before="0" w:after="0"/>
                              <w:ind w:left="0" w:right="0" w:hanging="0"/>
                              <w:jc w:val="left"/>
                              <w:rPr/>
                            </w:pPr>
                            <w:r>
                              <w:rPr/>
                              <w:t> </w:t>
                            </w:r>
                          </w:p>
                          <w:p>
                            <w:pPr>
                              <w:pStyle w:val="TableContents"/>
                              <w:bidi w:val="0"/>
                              <w:spacing w:lineRule="auto" w:line="256" w:before="0" w:after="0"/>
                              <w:ind w:left="0" w:right="0" w:hanging="0"/>
                              <w:jc w:val="left"/>
                              <w:rPr/>
                            </w:pPr>
                            <w:r>
                              <w:rPr/>
                              <w:t> </w:t>
                            </w:r>
                          </w:p>
                          <w:p>
                            <w:pPr>
                              <w:pStyle w:val="TableContents"/>
                              <w:bidi w:val="0"/>
                              <w:spacing w:lineRule="auto" w:line="256" w:before="0" w:after="0"/>
                              <w:ind w:left="0" w:right="0" w:hanging="0"/>
                              <w:jc w:val="left"/>
                              <w:rPr/>
                            </w:pPr>
                            <w:r>
                              <w:rPr/>
                              <w:t> </w:t>
                            </w:r>
                          </w:p>
                          <w:p>
                            <w:pPr>
                              <w:pStyle w:val="TableContents"/>
                              <w:bidi w:val="0"/>
                              <w:spacing w:lineRule="auto" w:line="256" w:before="0" w:after="0"/>
                              <w:ind w:left="0" w:right="0" w:hanging="0"/>
                              <w:jc w:val="left"/>
                              <w:rPr/>
                            </w:pPr>
                            <w:r>
                              <w:rPr/>
                              <w:t> </w:t>
                            </w:r>
                          </w:p>
                        </w:tc>
                        <w:tc>
                          <w:tcPr>
                            <w:tcW w:w="2943" w:type="dxa"/>
                            <w:tcBorders/>
                          </w:tcPr>
                          <w:p>
                            <w:pPr>
                              <w:pStyle w:val="TableContents"/>
                              <w:bidi w:val="0"/>
                              <w:spacing w:before="0" w:after="283"/>
                              <w:jc w:val="left"/>
                              <w:rPr>
                                <w:sz w:val="4"/>
                                <w:szCs w:val="4"/>
                              </w:rPr>
                            </w:pPr>
                            <w:r>
                              <w:rPr>
                                <w:sz w:val="4"/>
                                <w:szCs w:val="4"/>
                              </w:rPr>
                            </w:r>
                          </w:p>
                        </w:tc>
                      </w:tr>
                      <w:tr>
                        <w:trPr/>
                        <w:tc>
                          <w:tcPr>
                            <w:tcW w:w="8765" w:type="dxa"/>
                            <w:gridSpan w:val="2"/>
                            <w:tcBorders/>
                            <w:vAlign w:val="bottom"/>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/s/ David A. Frank</w:t>
                            </w:r>
                          </w:p>
                        </w:tc>
                      </w:tr>
                      <w:tr>
                        <w:trPr/>
                        <w:tc>
                          <w:tcPr>
                            <w:tcW w:w="8765" w:type="dxa"/>
                            <w:gridSpan w:val="2"/>
                            <w:tcBorders>
                              <w:top w:val="single" w:sz="8" w:space="0" w:color="000000"/>
                            </w:tcBorders>
                            <w:tcMar>
                              <w:top w:w="36" w:type="dxa"/>
                            </w:tcMar>
                            <w:vAlign w:val="bottom"/>
                          </w:tcPr>
                          <w:p>
                            <w:pPr>
                              <w:pStyle w:val="TableContents"/>
                              <w:bidi w:val="0"/>
                              <w:spacing w:lineRule="auto" w:line="240" w:before="0" w:after="0"/>
                              <w:ind w:left="0" w:right="0" w:hanging="0"/>
                              <w:jc w:val="right"/>
                              <w:rPr>
                                <w:rFonts w:ascii="Times New Roman" w:hAnsi="Times New Roman"/>
                                <w:color w:val="000000"/>
                                <w:sz w:val="20"/>
                              </w:rPr>
                            </w:pPr>
                            <w:r>
                              <w:rPr>
                                <w:rFonts w:ascii="Times New Roman" w:hAnsi="Times New Roman"/>
                                <w:color w:val="000000"/>
                                <w:sz w:val="20"/>
                              </w:rPr>
                              <w:t>David A. Frank</w:t>
                            </w:r>
                          </w:p>
                          <w:p>
                            <w:pPr>
                              <w:pStyle w:val="TableContents"/>
                              <w:bidi w:val="0"/>
                              <w:spacing w:lineRule="auto" w:line="240" w:before="0" w:after="0"/>
                              <w:ind w:left="0" w:right="0" w:hanging="0"/>
                              <w:jc w:val="right"/>
                              <w:rPr>
                                <w:rFonts w:ascii="Calibri" w:hAnsi="Calibri"/>
                                <w:sz w:val="20"/>
                              </w:rPr>
                            </w:pPr>
                            <w:r>
                              <w:rPr>
                                <w:rFonts w:ascii="Times New Roman" w:hAnsi="Times New Roman"/>
                                <w:color w:val="000000"/>
                                <w:sz w:val="20"/>
                              </w:rPr>
                              <w:t>Interim Chief Executive Officer, Chief Financial Officer and Treasurer</w:t>
                            </w:r>
                            <w:r>
                              <w:rPr>
                                <w:rFonts w:ascii="Calibri" w:hAnsi="Calibri"/>
                                <w:color w:val="000000"/>
                                <w:sz w:val="20"/>
                              </w:rPr>
                              <w:t xml:space="preserve"> </w:t>
                            </w:r>
                            <w:r>
                              <w:rPr>
                                <w:rFonts w:ascii="Times New Roman" w:hAnsi="Times New Roman"/>
                                <w:color w:val="000000"/>
                                <w:sz w:val="20"/>
                              </w:rPr>
                              <w:t>(Principal Executive Officer and Principal Financial Officer)</w:t>
                            </w:r>
                          </w:p>
                        </w:tc>
                      </w:tr>
                    </w:tbl>
                  </w:txbxContent>
                </v:textbox>
                <w10:wrap type="square" side="left"/>
              </v:rect>
            </w:pict>
          </mc:Fallback>
        </mc:AlternateConten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charset w:val="02"/>
    <w:family w:val="auto"/>
    <w:pitch w:val="default"/>
  </w:font>
  <w:font w:name="TimesNewRomanPSMT">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3978/000160397826000049/aqb-20260407xex3_1.htm" TargetMode="External"/><Relationship Id="rId3" Type="http://schemas.openxmlformats.org/officeDocument/2006/relationships/hyperlink" Target="https://www.sec.gov/Archives/edgar/data/1603978/000160397826000049/aqb-20260407xex3_1.htm" TargetMode="External"/><Relationship Id="rId4" Type="http://schemas.openxmlformats.org/officeDocument/2006/relationships/hyperlink" Target="https://www.sec.gov/Archives/edgar/data/1603978/000160397826000073/aqb-20260625xex3_1.htm" TargetMode="External"/><Relationship Id="rId5" Type="http://schemas.openxmlformats.org/officeDocument/2006/relationships/hyperlink" Target="https://www.sec.gov/Archives/edgar/data/1603978/000160397826000073/aqb-20260625xex3_1.htm" TargetMode="External"/><Relationship Id="rId6" Type="http://schemas.openxmlformats.org/officeDocument/2006/relationships/hyperlink" Target="https://www.sec.gov/Archives/edgar/data/1603978/000160397826000073/aqb-20260625xex3_1.htm" TargetMode="External"/><Relationship Id="rId7" Type="http://schemas.openxmlformats.org/officeDocument/2006/relationships/hyperlink" Target="https://www.sec.gov/Archives/edgar/data/1603978/000160397826000036/aqb-20260407xex10_1.htm" TargetMode="External"/><Relationship Id="rId8" Type="http://schemas.openxmlformats.org/officeDocument/2006/relationships/hyperlink" Target="https://www.sec.gov/Archives/edgar/data/1603978/000160397826000036/aqb-20260407xex10_1.htm" TargetMode="External"/><Relationship Id="rId9" Type="http://schemas.openxmlformats.org/officeDocument/2006/relationships/hyperlink" Target="https://www.sec.gov/Archives/edgar/data/1603978/000160397826000036/aqb-20260407xex10_2.htm" TargetMode="External"/><Relationship Id="rId10" Type="http://schemas.openxmlformats.org/officeDocument/2006/relationships/hyperlink" Target="https://www.sec.gov/Archives/edgar/data/1603978/000160397826000036/aqb-20260407xex10_2.htm" TargetMode="External"/><Relationship Id="rId11" Type="http://schemas.openxmlformats.org/officeDocument/2006/relationships/hyperlink" Target="https://www.sec.gov/Archives/edgar/data/1603978/000160397826000036/aqb-20260407xex10_3.htm" TargetMode="External"/><Relationship Id="rId12" Type="http://schemas.openxmlformats.org/officeDocument/2006/relationships/hyperlink" Target="https://www.sec.gov/Archives/edgar/data/1603978/000160397826000036/aqb-20260407xex10_3.htm" TargetMode="External"/><Relationship Id="rId13" Type="http://schemas.openxmlformats.org/officeDocument/2006/relationships/hyperlink" Target="https://www.sec.gov/Archives/edgar/data/1603978/000160397826000073/aqb-20260625xex10_1.htm" TargetMode="External"/><Relationship Id="rId14" Type="http://schemas.openxmlformats.org/officeDocument/2006/relationships/hyperlink" Target="https://www.sec.gov/Archives/edgar/data/1603978/000160397826000073/aqb-20260625xex10_1.htm" TargetMode="External"/><Relationship Id="rId15" Type="http://schemas.openxmlformats.org/officeDocument/2006/relationships/hyperlink" Target="https://www.sec.gov/Archives/edgar/data/1603978/000160397826000073/aqb-20260625xex10_2.htm" TargetMode="External"/><Relationship Id="rId16" Type="http://schemas.openxmlformats.org/officeDocument/2006/relationships/hyperlink" Target="https://www.sec.gov/Archives/edgar/data/1603978/000160397826000073/aqb-20260625xex10_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12202</Words>
  <Characters>67347</Characters>
  <CharactersWithSpaces>78519</CharactersWithSpaces>
  <Paragraphs>1258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