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AMENDMENT NO. 3</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TO</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12(b) or 12(g) of the Securities Exchange Act of 1934</w:t>
      </w:r>
    </w:p>
    <w:p>
      <w:pPr>
        <w:spacing w:after="0" w:line="15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AquaBounty Technologies, Inc.</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6320" w:type="dxa"/>
            <w:vAlign w:val="bottom"/>
            <w:gridSpan w:val="5"/>
          </w:tcPr>
          <w:p>
            <w:pPr>
              <w:jc w:val="center"/>
              <w:ind w:right="4260"/>
              <w:spacing w:after="0"/>
              <w:rPr>
                <w:sz w:val="20"/>
                <w:szCs w:val="20"/>
                <w:color w:val="auto"/>
              </w:rPr>
            </w:pPr>
            <w:r>
              <w:rPr>
                <w:rFonts w:ascii="Arial" w:cs="Arial" w:eastAsia="Arial" w:hAnsi="Arial"/>
                <w:sz w:val="18"/>
                <w:szCs w:val="18"/>
                <w:b w:val="1"/>
                <w:bCs w:val="1"/>
                <w:color w:val="auto"/>
                <w:w w:val="98"/>
              </w:rPr>
              <w:t>Delaware</w:t>
            </w:r>
          </w:p>
        </w:tc>
        <w:tc>
          <w:tcPr>
            <w:tcW w:w="302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99"/>
              </w:rPr>
              <w:t>04-3156167</w:t>
            </w:r>
          </w:p>
        </w:tc>
        <w:tc>
          <w:tcPr>
            <w:tcW w:w="0" w:type="dxa"/>
            <w:vAlign w:val="bottom"/>
          </w:tcPr>
          <w:p>
            <w:pPr>
              <w:spacing w:after="0"/>
              <w:rPr>
                <w:sz w:val="1"/>
                <w:szCs w:val="1"/>
                <w:color w:val="auto"/>
              </w:rPr>
            </w:pPr>
          </w:p>
        </w:tc>
      </w:tr>
      <w:tr>
        <w:trPr>
          <w:trHeight w:val="162"/>
        </w:trPr>
        <w:tc>
          <w:tcPr>
            <w:tcW w:w="6320" w:type="dxa"/>
            <w:vAlign w:val="bottom"/>
            <w:gridSpan w:val="5"/>
          </w:tcPr>
          <w:p>
            <w:pPr>
              <w:jc w:val="center"/>
              <w:ind w:right="4260"/>
              <w:spacing w:after="0"/>
              <w:rPr>
                <w:sz w:val="20"/>
                <w:szCs w:val="20"/>
                <w:color w:val="auto"/>
              </w:rPr>
            </w:pPr>
            <w:r>
              <w:rPr>
                <w:rFonts w:ascii="Arial" w:cs="Arial" w:eastAsia="Arial" w:hAnsi="Arial"/>
                <w:sz w:val="14"/>
                <w:szCs w:val="14"/>
                <w:b w:val="1"/>
                <w:bCs w:val="1"/>
                <w:color w:val="auto"/>
              </w:rPr>
              <w:t>(State or other jurisdiction of</w:t>
            </w:r>
          </w:p>
        </w:tc>
        <w:tc>
          <w:tcPr>
            <w:tcW w:w="200" w:type="dxa"/>
            <w:vAlign w:val="bottom"/>
          </w:tcPr>
          <w:p>
            <w:pPr>
              <w:spacing w:after="0"/>
              <w:rPr>
                <w:sz w:val="14"/>
                <w:szCs w:val="14"/>
                <w:color w:val="auto"/>
              </w:rPr>
            </w:pPr>
          </w:p>
        </w:tc>
        <w:tc>
          <w:tcPr>
            <w:tcW w:w="2820" w:type="dxa"/>
            <w:vAlign w:val="bottom"/>
            <w:gridSpan w:val="2"/>
          </w:tcPr>
          <w:p>
            <w:pPr>
              <w:jc w:val="center"/>
              <w:ind w:left="1517"/>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320" w:type="dxa"/>
            <w:vAlign w:val="bottom"/>
            <w:gridSpan w:val="5"/>
          </w:tcPr>
          <w:p>
            <w:pPr>
              <w:jc w:val="center"/>
              <w:ind w:right="4260"/>
              <w:spacing w:after="0"/>
              <w:rPr>
                <w:sz w:val="20"/>
                <w:szCs w:val="20"/>
                <w:color w:val="auto"/>
              </w:rPr>
            </w:pPr>
            <w:r>
              <w:rPr>
                <w:rFonts w:ascii="Arial" w:cs="Arial" w:eastAsia="Arial" w:hAnsi="Arial"/>
                <w:sz w:val="14"/>
                <w:szCs w:val="14"/>
                <w:b w:val="1"/>
                <w:bCs w:val="1"/>
                <w:color w:val="auto"/>
              </w:rPr>
              <w:t>incorporation or organization)</w:t>
            </w:r>
          </w:p>
        </w:tc>
        <w:tc>
          <w:tcPr>
            <w:tcW w:w="200" w:type="dxa"/>
            <w:vAlign w:val="bottom"/>
          </w:tcPr>
          <w:p>
            <w:pPr>
              <w:spacing w:after="0"/>
              <w:rPr>
                <w:sz w:val="16"/>
                <w:szCs w:val="16"/>
                <w:color w:val="auto"/>
              </w:rPr>
            </w:pPr>
          </w:p>
        </w:tc>
        <w:tc>
          <w:tcPr>
            <w:tcW w:w="2820" w:type="dxa"/>
            <w:vAlign w:val="bottom"/>
            <w:gridSpan w:val="2"/>
          </w:tcPr>
          <w:p>
            <w:pPr>
              <w:jc w:val="center"/>
              <w:ind w:left="1537"/>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Two Clock Tower Place, Suite 395</w:t>
            </w: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Maynard, Massachusetts 01754</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(Address of principal executive offices)</w:t>
            </w:r>
          </w:p>
        </w:tc>
        <w:tc>
          <w:tcPr>
            <w:tcW w:w="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5980" w:type="dxa"/>
            <w:vAlign w:val="bottom"/>
            <w:gridSpan w:val="4"/>
          </w:tcPr>
          <w:p>
            <w:pPr>
              <w:jc w:val="center"/>
              <w:ind w:left="3514"/>
              <w:spacing w:after="0"/>
              <w:rPr>
                <w:sz w:val="20"/>
                <w:szCs w:val="20"/>
                <w:color w:val="auto"/>
              </w:rPr>
            </w:pPr>
            <w:r>
              <w:rPr>
                <w:rFonts w:ascii="Arial" w:cs="Arial" w:eastAsia="Arial" w:hAnsi="Arial"/>
                <w:sz w:val="18"/>
                <w:szCs w:val="18"/>
                <w:b w:val="1"/>
                <w:bCs w:val="1"/>
                <w:color w:val="auto"/>
                <w:w w:val="99"/>
              </w:rPr>
              <w:t>(978) 648-6000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(Registrant’s telephone number)</w:t>
            </w:r>
          </w:p>
        </w:tc>
        <w:tc>
          <w:tcPr>
            <w:tcW w:w="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99"/>
              </w:rPr>
              <w:t>Copies of correspondence to:</w:t>
            </w: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60" w:type="dxa"/>
            <w:vAlign w:val="bottom"/>
          </w:tcPr>
          <w:p>
            <w:pPr>
              <w:spacing w:after="0"/>
              <w:rPr>
                <w:sz w:val="24"/>
                <w:szCs w:val="24"/>
                <w:color w:val="auto"/>
              </w:rPr>
            </w:pPr>
          </w:p>
        </w:tc>
        <w:tc>
          <w:tcPr>
            <w:tcW w:w="566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99"/>
              </w:rPr>
              <w:t>David A. Frank</w:t>
            </w:r>
          </w:p>
        </w:tc>
        <w:tc>
          <w:tcPr>
            <w:tcW w:w="200" w:type="dxa"/>
            <w:vAlign w:val="bottom"/>
          </w:tcPr>
          <w:p>
            <w:pPr>
              <w:spacing w:after="0"/>
              <w:rPr>
                <w:sz w:val="24"/>
                <w:szCs w:val="24"/>
                <w:color w:val="auto"/>
              </w:rPr>
            </w:pP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Bradley C. Brasser</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660" w:type="dxa"/>
            <w:vAlign w:val="bottom"/>
            <w:gridSpan w:val="4"/>
          </w:tcPr>
          <w:p>
            <w:pPr>
              <w:jc w:val="center"/>
              <w:ind w:right="3100"/>
              <w:spacing w:after="0" w:line="202" w:lineRule="exact"/>
              <w:rPr>
                <w:sz w:val="20"/>
                <w:szCs w:val="20"/>
                <w:color w:val="auto"/>
              </w:rPr>
            </w:pPr>
            <w:r>
              <w:rPr>
                <w:rFonts w:ascii="Arial" w:cs="Arial" w:eastAsia="Arial" w:hAnsi="Arial"/>
                <w:sz w:val="18"/>
                <w:szCs w:val="18"/>
                <w:b w:val="1"/>
                <w:bCs w:val="1"/>
                <w:color w:val="auto"/>
              </w:rPr>
              <w:t>Chief Financial Officer</w:t>
            </w:r>
          </w:p>
        </w:tc>
        <w:tc>
          <w:tcPr>
            <w:tcW w:w="200" w:type="dxa"/>
            <w:vAlign w:val="bottom"/>
          </w:tcPr>
          <w:p>
            <w:pPr>
              <w:spacing w:after="0"/>
              <w:rPr>
                <w:sz w:val="17"/>
                <w:szCs w:val="17"/>
                <w:color w:val="auto"/>
              </w:rPr>
            </w:pPr>
          </w:p>
        </w:tc>
        <w:tc>
          <w:tcPr>
            <w:tcW w:w="28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7"/>
              </w:rPr>
              <w:t>Michael P. Earley</w:t>
            </w:r>
          </w:p>
        </w:tc>
        <w:tc>
          <w:tcPr>
            <w:tcW w:w="0" w:type="dxa"/>
            <w:vAlign w:val="bottom"/>
          </w:tcPr>
          <w:p>
            <w:pPr>
              <w:spacing w:after="0"/>
              <w:rPr>
                <w:sz w:val="1"/>
                <w:szCs w:val="1"/>
                <w:color w:val="auto"/>
              </w:rPr>
            </w:pPr>
          </w:p>
        </w:tc>
      </w:tr>
      <w:tr>
        <w:trPr>
          <w:trHeight w:val="203"/>
        </w:trPr>
        <w:tc>
          <w:tcPr>
            <w:tcW w:w="6320" w:type="dxa"/>
            <w:vAlign w:val="bottom"/>
            <w:gridSpan w:val="5"/>
          </w:tcPr>
          <w:p>
            <w:pPr>
              <w:jc w:val="center"/>
              <w:ind w:right="2440"/>
              <w:spacing w:after="0" w:line="202" w:lineRule="exact"/>
              <w:rPr>
                <w:sz w:val="20"/>
                <w:szCs w:val="20"/>
                <w:color w:val="auto"/>
              </w:rPr>
            </w:pPr>
            <w:r>
              <w:rPr>
                <w:rFonts w:ascii="Arial" w:cs="Arial" w:eastAsia="Arial" w:hAnsi="Arial"/>
                <w:sz w:val="18"/>
                <w:szCs w:val="18"/>
                <w:b w:val="1"/>
                <w:bCs w:val="1"/>
                <w:color w:val="auto"/>
                <w:w w:val="99"/>
              </w:rPr>
              <w:t>AquaBounty Technologies, Inc.</w:t>
            </w:r>
          </w:p>
        </w:tc>
        <w:tc>
          <w:tcPr>
            <w:tcW w:w="200" w:type="dxa"/>
            <w:vAlign w:val="bottom"/>
          </w:tcPr>
          <w:p>
            <w:pPr>
              <w:spacing w:after="0"/>
              <w:rPr>
                <w:sz w:val="17"/>
                <w:szCs w:val="17"/>
                <w:color w:val="auto"/>
              </w:rPr>
            </w:pPr>
          </w:p>
        </w:tc>
        <w:tc>
          <w:tcPr>
            <w:tcW w:w="28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Jones Day</w:t>
            </w:r>
          </w:p>
        </w:tc>
        <w:tc>
          <w:tcPr>
            <w:tcW w:w="0" w:type="dxa"/>
            <w:vAlign w:val="bottom"/>
          </w:tcPr>
          <w:p>
            <w:pPr>
              <w:spacing w:after="0"/>
              <w:rPr>
                <w:sz w:val="1"/>
                <w:szCs w:val="1"/>
                <w:color w:val="auto"/>
              </w:rPr>
            </w:pPr>
          </w:p>
        </w:tc>
      </w:tr>
      <w:tr>
        <w:trPr>
          <w:trHeight w:val="203"/>
        </w:trPr>
        <w:tc>
          <w:tcPr>
            <w:tcW w:w="6320" w:type="dxa"/>
            <w:vAlign w:val="bottom"/>
            <w:gridSpan w:val="5"/>
          </w:tcPr>
          <w:p>
            <w:pPr>
              <w:jc w:val="center"/>
              <w:ind w:right="2420"/>
              <w:spacing w:after="0" w:line="202" w:lineRule="exact"/>
              <w:rPr>
                <w:sz w:val="20"/>
                <w:szCs w:val="20"/>
                <w:color w:val="auto"/>
              </w:rPr>
            </w:pPr>
            <w:r>
              <w:rPr>
                <w:rFonts w:ascii="Arial" w:cs="Arial" w:eastAsia="Arial" w:hAnsi="Arial"/>
                <w:sz w:val="18"/>
                <w:szCs w:val="18"/>
                <w:b w:val="1"/>
                <w:bCs w:val="1"/>
                <w:color w:val="auto"/>
                <w:w w:val="98"/>
              </w:rPr>
              <w:t>Two Clock Tower Place, Suite 395</w:t>
            </w:r>
          </w:p>
        </w:tc>
        <w:tc>
          <w:tcPr>
            <w:tcW w:w="200" w:type="dxa"/>
            <w:vAlign w:val="bottom"/>
          </w:tcPr>
          <w:p>
            <w:pPr>
              <w:spacing w:after="0"/>
              <w:rPr>
                <w:sz w:val="17"/>
                <w:szCs w:val="17"/>
                <w:color w:val="auto"/>
              </w:rPr>
            </w:pPr>
          </w:p>
        </w:tc>
        <w:tc>
          <w:tcPr>
            <w:tcW w:w="28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77 W. Wacker Dr.</w:t>
            </w:r>
          </w:p>
        </w:tc>
        <w:tc>
          <w:tcPr>
            <w:tcW w:w="0" w:type="dxa"/>
            <w:vAlign w:val="bottom"/>
          </w:tcPr>
          <w:p>
            <w:pPr>
              <w:spacing w:after="0"/>
              <w:rPr>
                <w:sz w:val="1"/>
                <w:szCs w:val="1"/>
                <w:color w:val="auto"/>
              </w:rPr>
            </w:pPr>
          </w:p>
        </w:tc>
      </w:tr>
      <w:tr>
        <w:trPr>
          <w:trHeight w:val="203"/>
        </w:trPr>
        <w:tc>
          <w:tcPr>
            <w:tcW w:w="6320" w:type="dxa"/>
            <w:vAlign w:val="bottom"/>
            <w:gridSpan w:val="5"/>
          </w:tcPr>
          <w:p>
            <w:pPr>
              <w:jc w:val="center"/>
              <w:ind w:right="2440"/>
              <w:spacing w:after="0" w:line="202" w:lineRule="exact"/>
              <w:rPr>
                <w:sz w:val="20"/>
                <w:szCs w:val="20"/>
                <w:color w:val="auto"/>
              </w:rPr>
            </w:pPr>
            <w:r>
              <w:rPr>
                <w:rFonts w:ascii="Arial" w:cs="Arial" w:eastAsia="Arial" w:hAnsi="Arial"/>
                <w:sz w:val="18"/>
                <w:szCs w:val="18"/>
                <w:b w:val="1"/>
                <w:bCs w:val="1"/>
                <w:color w:val="auto"/>
                <w:w w:val="99"/>
              </w:rPr>
              <w:t>Maynard, Massachusetts 01754</w:t>
            </w:r>
          </w:p>
        </w:tc>
        <w:tc>
          <w:tcPr>
            <w:tcW w:w="200" w:type="dxa"/>
            <w:vAlign w:val="bottom"/>
          </w:tcPr>
          <w:p>
            <w:pPr>
              <w:spacing w:after="0"/>
              <w:rPr>
                <w:sz w:val="17"/>
                <w:szCs w:val="17"/>
                <w:color w:val="auto"/>
              </w:rPr>
            </w:pPr>
          </w:p>
        </w:tc>
        <w:tc>
          <w:tcPr>
            <w:tcW w:w="28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Chicago, Illinois 60601</w:t>
            </w:r>
          </w:p>
        </w:tc>
        <w:tc>
          <w:tcPr>
            <w:tcW w:w="0" w:type="dxa"/>
            <w:vAlign w:val="bottom"/>
          </w:tcPr>
          <w:p>
            <w:pPr>
              <w:spacing w:after="0"/>
              <w:rPr>
                <w:sz w:val="1"/>
                <w:szCs w:val="1"/>
                <w:color w:val="auto"/>
              </w:rPr>
            </w:pPr>
          </w:p>
        </w:tc>
      </w:tr>
      <w:tr>
        <w:trPr>
          <w:trHeight w:val="239"/>
        </w:trPr>
        <w:tc>
          <w:tcPr>
            <w:tcW w:w="660" w:type="dxa"/>
            <w:vAlign w:val="bottom"/>
          </w:tcPr>
          <w:p>
            <w:pPr>
              <w:spacing w:after="0"/>
              <w:rPr>
                <w:sz w:val="20"/>
                <w:szCs w:val="20"/>
                <w:color w:val="auto"/>
              </w:rPr>
            </w:pPr>
          </w:p>
        </w:tc>
        <w:tc>
          <w:tcPr>
            <w:tcW w:w="566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99"/>
              </w:rPr>
              <w:t>Telephone: (978) 648-6000</w:t>
            </w:r>
          </w:p>
        </w:tc>
        <w:tc>
          <w:tcPr>
            <w:tcW w:w="200" w:type="dxa"/>
            <w:vAlign w:val="bottom"/>
          </w:tcPr>
          <w:p>
            <w:pPr>
              <w:spacing w:after="0"/>
              <w:rPr>
                <w:sz w:val="20"/>
                <w:szCs w:val="20"/>
                <w:color w:val="auto"/>
              </w:rPr>
            </w:pP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Telephone: (312) 782-3939</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68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9"/>
              </w:rPr>
              <w:t>Securities to be registered pursuant to Section 12(b) of the Act:</w:t>
            </w: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Name of each exchange on</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660" w:type="dxa"/>
            <w:vAlign w:val="bottom"/>
            <w:gridSpan w:val="4"/>
          </w:tcPr>
          <w:p>
            <w:pPr>
              <w:jc w:val="center"/>
              <w:ind w:right="3100"/>
              <w:spacing w:after="0" w:line="155" w:lineRule="exact"/>
              <w:rPr>
                <w:sz w:val="20"/>
                <w:szCs w:val="20"/>
                <w:color w:val="auto"/>
              </w:rPr>
            </w:pPr>
            <w:r>
              <w:rPr>
                <w:rFonts w:ascii="Arial" w:cs="Arial" w:eastAsia="Arial" w:hAnsi="Arial"/>
                <w:sz w:val="14"/>
                <w:szCs w:val="14"/>
                <w:b w:val="1"/>
                <w:bCs w:val="1"/>
                <w:color w:val="auto"/>
              </w:rPr>
              <w:t>Title of each class to be so registered</w:t>
            </w:r>
          </w:p>
        </w:tc>
        <w:tc>
          <w:tcPr>
            <w:tcW w:w="200" w:type="dxa"/>
            <w:vAlign w:val="bottom"/>
          </w:tcPr>
          <w:p>
            <w:pPr>
              <w:spacing w:after="0"/>
              <w:rPr>
                <w:sz w:val="15"/>
                <w:szCs w:val="15"/>
                <w:color w:val="auto"/>
              </w:rPr>
            </w:pPr>
          </w:p>
        </w:tc>
        <w:tc>
          <w:tcPr>
            <w:tcW w:w="28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which each class is to be registered</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30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share</w:t>
            </w:r>
          </w:p>
        </w:tc>
        <w:tc>
          <w:tcPr>
            <w:tcW w:w="30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line="20" w:lineRule="exact"/>
              <w:rPr>
                <w:sz w:val="1"/>
                <w:szCs w:val="1"/>
                <w:color w:val="auto"/>
              </w:rPr>
            </w:pPr>
          </w:p>
        </w:tc>
      </w:tr>
      <w:tr>
        <w:trPr>
          <w:trHeight w:val="219"/>
        </w:trPr>
        <w:tc>
          <w:tcPr>
            <w:tcW w:w="3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Common Stock, par value $0.001 per</w:t>
            </w:r>
          </w:p>
        </w:tc>
        <w:tc>
          <w:tcPr>
            <w:tcW w:w="3080" w:type="dxa"/>
            <w:vAlign w:val="bottom"/>
            <w:gridSpan w:val="3"/>
            <w:vMerge w:val="continue"/>
          </w:tcPr>
          <w:p>
            <w:pPr>
              <w:spacing w:after="0"/>
              <w:rPr>
                <w:sz w:val="19"/>
                <w:szCs w:val="19"/>
                <w:color w:val="auto"/>
              </w:rPr>
            </w:pPr>
          </w:p>
        </w:tc>
        <w:tc>
          <w:tcPr>
            <w:tcW w:w="30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820" w:space="720"/>
            <w:col w:w="4880" w:space="720"/>
            <w:col w:w="2340" w:space="720"/>
            <w:col w:w="160"/>
          </w:cols>
          <w:pgMar w:left="240" w:top="230" w:right="299" w:bottom="1440" w:gutter="0" w:footer="0" w:header="0"/>
          <w:type w:val="continuous"/>
        </w:sectPr>
      </w:pP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5" w:lineRule="exact"/>
        <w:rPr>
          <w:sz w:val="24"/>
          <w:szCs w:val="24"/>
          <w:color w:val="auto"/>
        </w:rPr>
      </w:pPr>
    </w:p>
    <w:p>
      <w:pPr>
        <w:sectPr>
          <w:pgSz w:w="11900" w:h="16838" w:orient="portrait"/>
          <w:cols w:equalWidth="0" w:num="5">
            <w:col w:w="1820" w:space="720"/>
            <w:col w:w="160" w:space="100"/>
            <w:col w:w="4620" w:space="720"/>
            <w:col w:w="2340" w:space="720"/>
            <w:col w:w="160"/>
          </w:cols>
          <w:pgMar w:left="240" w:top="230" w:right="29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The Company qualifies as an “emerging growth company” as defined in Section 2(a) of the Securities Act of 1933, or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gridSpan w:val="7"/>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0"/>
                <w:szCs w:val="20"/>
                <w:color w:val="auto"/>
              </w:rPr>
            </w:pPr>
          </w:p>
        </w:tc>
      </w:tr>
      <w:tr>
        <w:trPr>
          <w:trHeight w:val="391"/>
        </w:trPr>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Risk Factors</w:t>
              </w:r>
            </w:hyperlink>
          </w:p>
        </w:tc>
        <w:tc>
          <w:tcPr>
            <w:tcW w:w="790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9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Financial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Properties</w:t>
              </w:r>
            </w:hyperlink>
          </w:p>
        </w:tc>
        <w:tc>
          <w:tcPr>
            <w:tcW w:w="840" w:type="dxa"/>
            <w:vAlign w:val="bottom"/>
            <w:tcBorders>
              <w:top w:val="single" w:sz="8" w:color="0000EE"/>
            </w:tcBorders>
            <w:gridSpan w:val="3"/>
          </w:tcPr>
          <w:p>
            <w:pPr>
              <w:spacing w:after="0"/>
              <w:rPr>
                <w:sz w:val="24"/>
                <w:szCs w:val="24"/>
                <w:color w:val="auto"/>
              </w:rPr>
            </w:pPr>
          </w:p>
        </w:tc>
        <w:tc>
          <w:tcPr>
            <w:tcW w:w="724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53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Security Ownership of Certain Beneficial Owners and Management</w:t>
              </w:r>
            </w:hyperlink>
          </w:p>
        </w:tc>
        <w:tc>
          <w:tcPr>
            <w:tcW w:w="356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90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Directors and Executive Officers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256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Executive Compensation</w:t>
              </w:r>
            </w:hyperlink>
          </w:p>
        </w:tc>
        <w:tc>
          <w:tcPr>
            <w:tcW w:w="634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1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60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Certain Relationships and Related Transactions, and Director Independence</w:t>
              </w:r>
            </w:hyperlink>
          </w:p>
        </w:tc>
        <w:tc>
          <w:tcPr>
            <w:tcW w:w="282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890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1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890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Market Price of and Dividends on the Registrant’s Common Equity and Related Stockholder Matters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7940" w:type="dxa"/>
            <w:vAlign w:val="bottom"/>
            <w:tcBorders>
              <w:top w:val="single" w:sz="8" w:color="0000EE"/>
            </w:tcBorders>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Recent Sales of Unregistered Securities</w:t>
              </w:r>
            </w:hyperlink>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120" w:type="dxa"/>
            <w:vAlign w:val="bottom"/>
          </w:tcPr>
          <w:p>
            <w:pPr>
              <w:spacing w:after="0" w:line="20" w:lineRule="exact"/>
              <w:rPr>
                <w:sz w:val="1"/>
                <w:szCs w:val="1"/>
                <w:color w:val="auto"/>
              </w:rPr>
            </w:pPr>
          </w:p>
        </w:tc>
        <w:tc>
          <w:tcPr>
            <w:tcW w:w="270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890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Description of Registrant’s Securities to be Registered</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32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Indemnification of Directors and Officers</w:t>
              </w:r>
            </w:hyperlink>
          </w:p>
        </w:tc>
        <w:tc>
          <w:tcPr>
            <w:tcW w:w="1100" w:type="dxa"/>
            <w:vAlign w:val="bottom"/>
            <w:tcBorders>
              <w:top w:val="single" w:sz="8" w:color="0000EE"/>
            </w:tcBorders>
            <w:gridSpan w:val="2"/>
          </w:tcPr>
          <w:p>
            <w:pPr>
              <w:spacing w:after="0"/>
              <w:rPr>
                <w:sz w:val="24"/>
                <w:szCs w:val="24"/>
                <w:color w:val="auto"/>
              </w:rPr>
            </w:pPr>
          </w:p>
        </w:tc>
        <w:tc>
          <w:tcPr>
            <w:tcW w:w="460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372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Financial Statements and Supplementary Data</w:t>
              </w:r>
            </w:hyperlink>
          </w:p>
        </w:tc>
        <w:tc>
          <w:tcPr>
            <w:tcW w:w="518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718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Changes In and Disagreements With Accountants on Accounting and Financial Disclosure</w:t>
              </w:r>
            </w:hyperlink>
          </w:p>
        </w:tc>
        <w:tc>
          <w:tcPr>
            <w:tcW w:w="172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890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Statements and Exhibits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2"/>
        </w:trPr>
        <w:tc>
          <w:tcPr>
            <w:tcW w:w="11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gridSpan w:val="5"/>
          </w:tcPr>
          <w:p>
            <w:pPr>
              <w:jc w:val="center"/>
              <w:ind w:right="4000"/>
              <w:spacing w:after="0"/>
              <w:rPr>
                <w:sz w:val="20"/>
                <w:szCs w:val="20"/>
                <w:color w:val="auto"/>
              </w:rPr>
            </w:pPr>
            <w:r>
              <w:rPr>
                <w:rFonts w:ascii="Arial" w:cs="Arial" w:eastAsia="Arial" w:hAnsi="Arial"/>
                <w:sz w:val="18"/>
                <w:szCs w:val="18"/>
                <w:color w:val="auto"/>
                <w:w w:val="99"/>
              </w:rPr>
              <w:t>-i-</w:t>
            </w: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Registration Statement on Form 10 is being filed by AquaBounty Technologies, Inc. in order to register its common stock, par value $ 0.001 per share, voluntarily pursuant to Section 12(b) under the Securities Exchange Act of 1934, or the Exchange Act. Unless otherwise noted or indicated by the context, the terms “AquaBounty,” “the Company,” “we,” “us” and “our” refer to AquaBounty Technologies, Inc., together with its consolidated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amended by the Jumpstart Our Business Startups Act enacted on April 5, 2012, which we refer to as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or the Sarbanes-Oxley Act, an exemption from the adoption of new or revised financial accounting standards until they would apply to private companies, an exemption from compliance with any new requirements adopted by the Public Company Accounting Oversight Board, or the PCAOB, requiring mandatory audit firm rotation or a supplement to the auditors’ report in which the auditor would be required to provide additional information about the audit and the financial statements of the issuer, reduced disclosure obligations regarding executive compensation in our periodic reports and proxy statements and exemptions from the requirements of holding advisory “say-on-pay” votes on executive compensation and shareholder advisory votes on golden parachute compensation not previously approved.</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this extended transition period. Our financial statements may therefore not be comparable to those of companies that comply with such new or revised accounting standards. Section 107 of the JOBS Act provides that our decision not to opt out of the extended transition period for complying with new or revised accounting standards is irrevocable.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Under the JOBS Act, we will remain an “emerging growth company” until the earliest of:</w:t>
      </w:r>
    </w:p>
    <w:p>
      <w:pPr>
        <w:spacing w:after="0" w:line="117" w:lineRule="exact"/>
        <w:rPr>
          <w:sz w:val="20"/>
          <w:szCs w:val="20"/>
          <w:color w:val="auto"/>
        </w:rPr>
      </w:pPr>
    </w:p>
    <w:p>
      <w:pPr>
        <w:ind w:left="900" w:right="100" w:hanging="325"/>
        <w:spacing w:after="0" w:line="24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first sale of our common stock pursuant to an effective registration statement filed under the Securities Act;</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 billion in non-convertible debt; and</w:t>
      </w:r>
    </w:p>
    <w:p>
      <w:pPr>
        <w:spacing w:after="0" w:line="117" w:lineRule="exact"/>
        <w:rPr>
          <w:rFonts w:ascii="Arial" w:cs="Arial" w:eastAsia="Arial" w:hAnsi="Arial"/>
          <w:sz w:val="18"/>
          <w:szCs w:val="18"/>
          <w:color w:val="auto"/>
        </w:rPr>
      </w:pPr>
    </w:p>
    <w:p>
      <w:pPr>
        <w:ind w:left="900" w:right="28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as defined in Rule 12b-2 under the Exchange Act, which would occur as of the first day of the first fiscal year after we have (i) more than $700 million in outstanding common equity held by our non-affiliates as of the last day of our second fiscal quarter and (ii) been public for at least 12 months.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Registration Statement on Form 10 contains “forward-looking statements.” Forward-looking statements include any statements that address future results or occurrences. In some cases you can identify forward-looking statements by terminology such as “may,” “might,” “will,” “would,” “should,” “could” or the negatives thereof. Generally, the words “anticipate,” “believe,” “continue,” “expect,” “intend,” “estimate,” “project,” “plan” and similar expressions identify forward-looking statements. In particular, statements about our expectations, beliefs, plans, objectives, assumptions or future events or performance contained in this Registration Statement on Form 10 in Item 1. “Business,” Item 1A. “Risk Factors” and Item 2. “Financial Information—Management’s Discussion and Analysis of Financial Condition and Results of Operations” are forward-looking statements. These forward-looking statements include statements that are not historical facts, including statements concerning our possible or assumed future actions and business strategies and the process of obtaining regulatory approval to commercialize our product candidates.</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w:t>
      </w:r>
    </w:p>
    <w:p>
      <w:pPr>
        <w:spacing w:after="0" w:line="10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AquAdvantage</w:t>
      </w:r>
      <w:r>
        <w:rPr>
          <w:rFonts w:ascii="Arial" w:cs="Arial" w:eastAsia="Arial" w:hAnsi="Arial"/>
          <w:sz w:val="15"/>
          <w:szCs w:val="15"/>
          <w:color w:val="auto"/>
        </w:rPr>
        <w:t>®</w:t>
      </w:r>
      <w:r>
        <w:rPr>
          <w:rFonts w:ascii="Arial" w:cs="Arial" w:eastAsia="Arial" w:hAnsi="Arial"/>
          <w:sz w:val="18"/>
          <w:szCs w:val="18"/>
          <w:color w:val="auto"/>
        </w:rPr>
        <w:t xml:space="preserve"> Salmon product;</w:t>
      </w:r>
    </w:p>
    <w:p>
      <w:pPr>
        <w:spacing w:after="0" w:line="11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uncertainty of achieving the business plan, future revenue and operating results;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concerning our research projects;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enter new markets or develop additional products;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existing technologies and products or new technologies and products that may emerge;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position and ability to raise additional capital to finance our activities;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proprietary rights and technologies;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adapt to changes in laws or regulations and policies;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secure any necessary regulatory approvals to commercialize any products;</w:t>
      </w:r>
    </w:p>
    <w:p>
      <w:pPr>
        <w:spacing w:after="0" w:line="117" w:lineRule="exact"/>
        <w:rPr>
          <w:rFonts w:ascii="Arial" w:cs="Arial" w:eastAsia="Arial" w:hAnsi="Arial"/>
          <w:sz w:val="18"/>
          <w:szCs w:val="18"/>
          <w:color w:val="auto"/>
        </w:rPr>
      </w:pPr>
    </w:p>
    <w:p>
      <w:pPr>
        <w:ind w:left="900" w:right="520" w:hanging="325"/>
        <w:spacing w:after="0" w:line="24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any products developed through the application of genetic engineering, including genetically modified fish;</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recruit key personnel;</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majority shareholder, Intrexon Corporation, or Intrexon, to control us;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any of our future acquisitions or investments;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international business risks and exchange rate fluctuations;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possible volatility of our stock price;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 and track record of operating losses;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caution you that the foregoing list may not contain all of the forward-looking statements made in this Registration Statement on Form 10.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Registration Statement on Form 10, particularly in the Item 1A. “Risk Factors,”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These forward-looking statements are made only as of the date of this Registration Statement on Form 10. We do not undertake and specifically decline any obligation to update any such statements or to publicly announce the results of any revisions to any such statements to reflect future events or developments unless required by federal securities law. New factors emerge from time to time, and it is not possible for us to predict all such factors.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This Business section, along with other sections of this Registration Statement on Form 10, includes, in some cases, management estimates based on industry and other knowledge, statistical market and industry data that we obtained from industry and general publications and research, surveys and studies conducted by third party sources that we believe to be reliable. We have not independently verified any of the data from third-party sources, and we make no representation as to the accuracy of such information. While we believe internal company estimates are reliable and market definitions are appropriate, they have not been verified by any independent sources, and we make no representations as to the accuracy of such estimates. We have one segment for financial reporting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AquaBounty Technologies, Inc., a Delaware corporation, was formed on December 17, 1991. Our common stock was listed on London’s Alternative Investment Market, or AIM, in 2006. Headquartered in Maynard, Massachusetts, we are a biotechnology company focused on enhancing productivity in the fast growing aquaculture market. Our principal place of business is located at Two Clock Tower Place, Suite 395, Maynard, Massachusetts 01754, and our telephone number at that location is (978) 648-6000.</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use genetic manipulation and other molecular biologic techniques in order to improve the quality and yield of fish stocks and help the aquaculture industry meet growing consumer demand. At the time of our listing on AIM in 2006, we had three developed product lines, including disease management and diagnostic products for shrimp as well as a transgenic line of Atlantic salmon that exhibited an accelerated rate of growth. However, due to disappointing prospects for revenue growth, in 2008 we decided to focus our resources on the regulatory approval of our AquAdvantage</w:t>
      </w:r>
      <w:r>
        <w:rPr>
          <w:rFonts w:ascii="Arial" w:cs="Arial" w:eastAsia="Arial" w:hAnsi="Arial"/>
          <w:sz w:val="15"/>
          <w:szCs w:val="15"/>
          <w:color w:val="auto"/>
        </w:rPr>
        <w:t>®</w:t>
      </w:r>
      <w:r>
        <w:rPr>
          <w:rFonts w:ascii="Arial" w:cs="Arial" w:eastAsia="Arial" w:hAnsi="Arial"/>
          <w:sz w:val="18"/>
          <w:szCs w:val="18"/>
          <w:color w:val="auto"/>
        </w:rPr>
        <w:t xml:space="preserve"> Salmon product and to discontinue spending on our other product lines. Since that time, we have completed all technical sections of the New Animal Drug Application, or NADA, process with the U.S. Food and Drug Administration, or the FDA, for AquAdvantage</w:t>
      </w:r>
      <w:r>
        <w:rPr>
          <w:rFonts w:ascii="Arial" w:cs="Arial" w:eastAsia="Arial" w:hAnsi="Arial"/>
          <w:sz w:val="15"/>
          <w:szCs w:val="15"/>
          <w:color w:val="auto"/>
        </w:rPr>
        <w:t>®</w:t>
      </w:r>
      <w:r>
        <w:rPr>
          <w:rFonts w:ascii="Arial" w:cs="Arial" w:eastAsia="Arial" w:hAnsi="Arial"/>
          <w:sz w:val="18"/>
          <w:szCs w:val="18"/>
          <w:color w:val="auto"/>
        </w:rPr>
        <w:t xml:space="preserve"> Salmon, but are still waiting for formal approval of the NADA.</w:t>
      </w:r>
    </w:p>
    <w:p>
      <w:pPr>
        <w:spacing w:after="0" w:line="201" w:lineRule="exact"/>
        <w:rPr>
          <w:sz w:val="20"/>
          <w:szCs w:val="20"/>
          <w:color w:val="auto"/>
        </w:rPr>
      </w:pPr>
    </w:p>
    <w:p>
      <w:pPr>
        <w:jc w:val="both"/>
        <w:ind w:right="200"/>
        <w:spacing w:after="0" w:line="242" w:lineRule="auto"/>
        <w:rPr>
          <w:sz w:val="20"/>
          <w:szCs w:val="20"/>
          <w:color w:val="auto"/>
        </w:rPr>
      </w:pPr>
      <w:r>
        <w:rPr>
          <w:rFonts w:ascii="Arial" w:cs="Arial" w:eastAsia="Arial" w:hAnsi="Arial"/>
          <w:sz w:val="18"/>
          <w:szCs w:val="18"/>
          <w:color w:val="auto"/>
        </w:rPr>
        <w:t>We believe that receipt of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would not only represent a major milestone for us, but also a significant pioneering development in introducing transgenic animals into the food chain. Although genetically modified crops have been accepted in the United States and South America for some time, AquAdvantage</w:t>
      </w:r>
      <w:r>
        <w:rPr>
          <w:rFonts w:ascii="Arial" w:cs="Arial" w:eastAsia="Arial" w:hAnsi="Arial"/>
          <w:sz w:val="15"/>
          <w:szCs w:val="15"/>
          <w:color w:val="auto"/>
        </w:rPr>
        <w:t>®</w:t>
      </w:r>
      <w:r>
        <w:rPr>
          <w:rFonts w:ascii="Arial" w:cs="Arial" w:eastAsia="Arial" w:hAnsi="Arial"/>
          <w:sz w:val="18"/>
          <w:szCs w:val="18"/>
          <w:color w:val="auto"/>
        </w:rPr>
        <w:t xml:space="preserve"> Salmon would be the first genetically modified animal to</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be approved for human consumption. We intend to deploy AquAdvantage</w:t>
      </w:r>
      <w:r>
        <w:rPr>
          <w:rFonts w:ascii="Arial" w:cs="Arial" w:eastAsia="Arial" w:hAnsi="Arial"/>
          <w:sz w:val="15"/>
          <w:szCs w:val="15"/>
          <w:color w:val="auto"/>
        </w:rPr>
        <w:t>®</w:t>
      </w:r>
      <w:r>
        <w:rPr>
          <w:rFonts w:ascii="Arial" w:cs="Arial" w:eastAsia="Arial" w:hAnsi="Arial"/>
          <w:sz w:val="18"/>
          <w:szCs w:val="18"/>
          <w:color w:val="auto"/>
        </w:rPr>
        <w:t xml:space="preserve"> Salmon in land-based, contained, freshwater aquaculture systems, which would allow inland fish farms to be established close to major demand centers in a profitable and environmentally sustainable manner. The technology underlying AquAdvantage</w:t>
      </w:r>
      <w:r>
        <w:rPr>
          <w:rFonts w:ascii="Arial" w:cs="Arial" w:eastAsia="Arial" w:hAnsi="Arial"/>
          <w:sz w:val="15"/>
          <w:szCs w:val="15"/>
          <w:color w:val="auto"/>
        </w:rPr>
        <w:t>®</w:t>
      </w:r>
      <w:r>
        <w:rPr>
          <w:rFonts w:ascii="Arial" w:cs="Arial" w:eastAsia="Arial" w:hAnsi="Arial"/>
          <w:sz w:val="18"/>
          <w:szCs w:val="18"/>
          <w:color w:val="auto"/>
        </w:rPr>
        <w:t xml:space="preserve"> Salmon would offer the potential to reintroduce salmon aquaculture in the United States, which imported more than $2.0 billion of Atlantic salmon in 2013 according to the U.S. Department of Commerce, or the DOC. We believe it will take two years following receipt of FDA approval of the NADA to establish commercial operations and an additional two years before we can generate significant revenues. Ultimately, our prospects depend on receipt of that approval as well as consumer acceptance of genetically modified fish.</w:t>
      </w:r>
    </w:p>
    <w:p>
      <w:pPr>
        <w:spacing w:after="0" w:line="20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2012, we implemented a reorganization in conjunction with a fundraising in an effort to reduce operating expenses and conserve resources. This included the spin-off and sale of our research group to Tethys Ocean, B.V., or Tethys, which was our largest shareholder at that time. We subsequently executed a contract research agreement with the new organization, Tethys Aquaculture Canada, Inc., to provide us with the resources required for our development needs.</w:t>
      </w:r>
    </w:p>
    <w:p>
      <w:pPr>
        <w:spacing w:after="0" w:line="20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Tethys sold its shares in AquaBounty to Intrexon in November 2012. Intrexon subsequently purchased further shares in the Company in a fundraising in March 2013 and became our majority shareholder. Intrexon provided us with further funding in March 2014, increasing their ownership to 59.8%.</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With the delay in the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we currently have no source of revenue and continue to generate losses. For the year ended December 31, 2013, we incurred a net loss of $4.7 million, and for the six months ended June 30, 2014, we recorded a net loss of $3.5 million, bringing our cumulative losses since inception to $80.1 million.</w:t>
      </w:r>
    </w:p>
    <w:p>
      <w:pPr>
        <w:spacing w:after="0" w:line="198"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color w:val="auto"/>
        </w:rPr>
        <w:t>See “—Our Product” for more information on AquAdvantage</w:t>
      </w:r>
      <w:r>
        <w:rPr>
          <w:rFonts w:ascii="Arial" w:cs="Arial" w:eastAsia="Arial" w:hAnsi="Arial"/>
          <w:sz w:val="15"/>
          <w:szCs w:val="15"/>
          <w:color w:val="auto"/>
        </w:rPr>
        <w:t>®</w:t>
      </w:r>
      <w:r>
        <w:rPr>
          <w:rFonts w:ascii="Arial" w:cs="Arial" w:eastAsia="Arial" w:hAnsi="Arial"/>
          <w:sz w:val="18"/>
          <w:szCs w:val="18"/>
          <w:color w:val="auto"/>
        </w:rPr>
        <w:t xml:space="preserve"> Salmon and “—Regulatory Environment” for more information on our NADA process with the FDA.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Aquaculture Industry</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Aquaculture is the farming of aquatic organisms such as fish, shellfish, crustaceans and aquatic plants. It involves cultivating freshwater or saltwater species under controlled conditions, as an alternative to the commercial harvesting of wild species of aquatic organisms. The aquaculture industry has experienced growth in recent years, and we believe that the aquaculture industry, and in particular salmon farming, is poised for significant additional growth in the coming years as the global population expands.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Salmon Farming</w:t>
      </w:r>
    </w:p>
    <w:p>
      <w:pPr>
        <w:spacing w:after="0" w:line="126"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According to Kontali Analyse, or Kontali, and Marine Harvest ASA, or Marine Harvest, farmed salmon accounted for approximately 60% of the world’s salmon production during 2013, of which Atlantic salmon accounted for approximately 70%. According to the United Nations Food and Agriculture Organization, or the FAO, Atlantic salmon aquaculture production grew by approximately 6.5% annually between 2001 and 2012.</w:t>
      </w:r>
    </w:p>
    <w:p>
      <w:pPr>
        <w:spacing w:after="0" w:line="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Kontali and Marine Harvest have both indicated that they expect increases in demand to drive continued production growth through 2020, although at a lower annual rate of approximately 3.0% primarily due to supply constraints.</w:t>
      </w:r>
    </w:p>
    <w:p>
      <w:pPr>
        <w:spacing w:after="0" w:line="1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Atlantic salmon farming is a major industry in the cold-water countries of the northern and southern hemispheres. According to the FAO, total production volume of farmed Atlantic salmon during 2012 was 2.07 million metric tons. This production had a market value of over $10.0 billion. Below is a break-down by major producing country for the time period 2006 through 2012, which is the last year for which data is readily available.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Atlantic Salmon Production by Country (in metric tons)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Canada</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118,061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102,509</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104,070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100,220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101,385</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102,064</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108,118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Chile</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376,476</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331,042</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388,847</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233,308</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123,233</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264,349</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399,678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U.S.A.</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10,485</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11,001</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16,714</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14,074</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19,535</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18,595</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Ireland</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11,174</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9,923</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9,217</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12,210</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15,691</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12,196</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Norway</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629,888</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744,222</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737,694</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862,908</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939,536</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1,064,868</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131,973</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130,104</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128,744</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133,440</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154,625</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158,168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162,604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Australia</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20,710</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25,336</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25,737</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29,893</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31,807</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35,198</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19,953</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24,737</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40,239</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54,358</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51,863</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70,866</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WW Volume (mt)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1,318,720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1,378,874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1,451,262</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1,440,410</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1,437,675</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1,726,304</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2,066,561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5"/>
          <w:szCs w:val="15"/>
          <w:color w:val="auto"/>
        </w:rPr>
      </w:pPr>
      <w:r>
        <w:rPr>
          <w:rFonts w:ascii="Arial" w:cs="Arial" w:eastAsia="Arial" w:hAnsi="Arial"/>
          <w:sz w:val="18"/>
          <w:szCs w:val="18"/>
          <w:color w:val="auto"/>
        </w:rPr>
        <w:t>FAO - Fisheries and Aquaculture Information and Statistics Service - 03/12/2014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According to the DOC, which tracks the volume and value of Atlantic salmon imports into the country, from 2008 to 2013, the average wholesale price of Atlantic salmon imported into the United States increased from $3.17 per pound ($7.05/kilogram) to $4.04 per pound ($8.97/ kilogram).</w:t>
      </w:r>
    </w:p>
    <w:p>
      <w:pPr>
        <w:spacing w:after="0" w:line="20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daily spot (farm-gate or wholesale market) price for Atlantic salmon is very volatile due to the species’ long production cycle, which typically ranges between two and three years, and its short shelf life, which typically ranges between two and three weeks. Farmed salmon is typically sold as fresh and thus must be consumed within this timeframe. Consequently, the available supply is very inelastic over the short-term, while demand can be very elastic due to price, season or market size.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Producers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global Atlantic salmon farming industry includes several very large companies with operations in each of the major producing countries. Consolidation has been evident in the past few years as producers attempt to gain competitive cost advantages while overcoming the regulatory challenges associated with developing new marine farm sites. Major market producers, and their primary country of operation, include the following companies: Marine Harvest (Norway), Leroy Seafood (Norway), Cermaq (Chile), Salmar (Norway), AquaChile (Chile) and Cooke Aquaculture (Canada).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Atlantic Salmon Market</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According to the DOC, in 2013 the United States imported a record 514 million pounds (233,000 metric tons) of Atlantic salmon with an aggregate market value of approximately $2.08 billion, or $4.04 per pound. The DOC also reported that over 75% of the total quantity of Atlantic salmon imports into the United States in 2013 originated from Chile and Canada. The Atlantic salmon farming industry in the United States contracted significantly beginning in the 1990s in the face of environmental concerns and lower costs of production from foreign sources, notably Chile. According to the FAO, a total of only 43 million pounds of farmed Atlantic salmon was produced in the United States in 2012, an increase of just 4% from the previous year.</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Despite intensive public consumer education campaigns promoting its health benefits, seafood consumption in the United States still lags other protein sources and trails consumption in overseas markets. According to the DOC, during the period from 2007 to 2011, annual seafood consumption in the United States ranged between 15 and 16 pounds per capita, significantly behind consumption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poultry (80 to 85 pounds), beef (57 to 65 pounds), and pork (46 to 50 pounds). In comparison, according to SeaFood Business, average seafood consumption throughout Europe was 48.5 pounds per capita in 2012.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Perception of Genetically Modified Atlantic Salmon</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Though Atlantic salmon is the third largest consumed seafood in the United States, activist groups opposing genetic modifications of organisms have recently pressured a number of retail food outlets and grocery chains to publicly state that they will not carry genetically modified Atlantic salmon. However, we do not expect that this will have a significant impact on overall consumer demand and product placement in the marketplace generally, and in particular the wholesale marketplace. To date, large wholesalers have not followed the example of these retailers, and we believe that there will be sufficient demand from smaller retailers, wholesalers and institutional seafood buyers to absorb our projected production. We believe that FDA approval would reinforce the message that AquAdvantage</w:t>
      </w:r>
      <w:r>
        <w:rPr>
          <w:rFonts w:ascii="Arial" w:cs="Arial" w:eastAsia="Arial" w:hAnsi="Arial"/>
          <w:sz w:val="15"/>
          <w:szCs w:val="15"/>
          <w:color w:val="auto"/>
        </w:rPr>
        <w:t>®</w:t>
      </w:r>
      <w:r>
        <w:rPr>
          <w:rFonts w:ascii="Arial" w:cs="Arial" w:eastAsia="Arial" w:hAnsi="Arial"/>
          <w:sz w:val="18"/>
          <w:szCs w:val="18"/>
          <w:color w:val="auto"/>
        </w:rPr>
        <w:t xml:space="preserve"> Salmon is a safe and nutritious seafood product that is equivalent to conventional farmed Atlantic salmon. This expectation is based in part on the results of a 2014 survey released by the International Food Information Council, titled “Consumer Perceptions of Food Technology,” which indicated that 59% of consumers are “somewhat” or “very” likely to buy genetically engineered seafood if the FDA deems it safe. In addition, we plan to educate consumers on the benefits of AquAdvantage</w:t>
      </w:r>
      <w:r>
        <w:rPr>
          <w:rFonts w:ascii="Arial" w:cs="Arial" w:eastAsia="Arial" w:hAnsi="Arial"/>
          <w:sz w:val="15"/>
          <w:szCs w:val="15"/>
          <w:color w:val="auto"/>
        </w:rPr>
        <w:t>®</w:t>
      </w:r>
      <w:r>
        <w:rPr>
          <w:rFonts w:ascii="Arial" w:cs="Arial" w:eastAsia="Arial" w:hAnsi="Arial"/>
          <w:sz w:val="18"/>
          <w:szCs w:val="18"/>
          <w:color w:val="auto"/>
        </w:rPr>
        <w:t xml:space="preserve"> Salmon versus conventional Atlantic salmon, including better feed conversion, a lower carbon footprint due to local production and reduced reliance on chemotherapeutics due to improved biosecurity.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Atlantic Salmon Disease Impact</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 area of concern with current Atlantic salmon farming techniques is its environmental impact and the cost of disease management. Salmon farming systems, particularly conventional, open sea-cage systems, are vulnerable to disease introduction and transmission, primarily from the marine environment or adjacent culture systems. The economic impact of disease to these production systems can be significant, as farmers must incur the cost of preventative measures, such as vaccines and antibiotics, and then if infected, the cost of lost or reduced harvests.</w:t>
      </w:r>
    </w:p>
    <w:p>
      <w:pPr>
        <w:spacing w:after="0" w:line="20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most prevalent disease and health management issues are Infectious Salmon Anemia, or ISA, and sea lice. ISA is a viral disease in Atlantic salmon and outbreaks have occurred in virtually every major salmon farming geography since 1984, including a major event in Chile in 2008 which impacted the country’s production for three years. There is currently no effective treatment for the disease and the salmon farming industry relies on vaccines and health management practices to mitigate its impact. Though primarily occurring in traditional sea-cage farming environments, ISA can also be introduced into populations that are in land-based, self-contained facilities. In November 2009, certain fish from our hatchery tested positive for ISA. We notified the Canadian Department of Fisheries and Oceans, or DFO, following discovery of the virus, which was diagnosed as a strain with low pathogenicity and unknown origin. We conducted an extensive screening program of all fish in the facility, destroying any fish that tested positive for ISA. Subsequent tests conducted by DFO of fish in the facility began in March 2010 and indicated that the virus had been eliminated from the facility. We enacted improvements in biosecurity and facility operation, and the facility regained its disease free status from DFO after four consecutive tests indicated no presence of the virus. The fish health status of the facility continues to be monitored by both DFO and the Canadian Food Inspection Agency. The facility has not had any reportable disease outbreaks since 2009.</w:t>
      </w:r>
    </w:p>
    <w:p>
      <w:pPr>
        <w:spacing w:after="0" w:line="20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Sea lice are marine parasites that occur naturally and attach to the skin of Atlantic salmon. Though a few lice on a large salmon presents no problem, the presence of significant numbers can adversely impact the health and aesthetic appearance of the fish. The cost of managing sea lice in sea-cage farming environments can be significant.</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In addition, other diseases and health management issues impacted and may in the future impact salmon populations in certain farming geographies.</w:t>
      </w:r>
    </w:p>
    <w:p>
      <w:pPr>
        <w:spacing w:after="0" w:line="1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closed, contained, land-based production systems proposed for the grow-out of AquAdvantage</w:t>
      </w:r>
      <w:r>
        <w:rPr>
          <w:rFonts w:ascii="Arial" w:cs="Arial" w:eastAsia="Arial" w:hAnsi="Arial"/>
          <w:sz w:val="15"/>
          <w:szCs w:val="15"/>
          <w:color w:val="auto"/>
        </w:rPr>
        <w:t>®</w:t>
      </w:r>
      <w:r>
        <w:rPr>
          <w:rFonts w:ascii="Arial" w:cs="Arial" w:eastAsia="Arial" w:hAnsi="Arial"/>
          <w:sz w:val="18"/>
          <w:szCs w:val="18"/>
          <w:color w:val="auto"/>
        </w:rPr>
        <w:t xml:space="preserve"> Salmon are less susceptible, though not immune, to the same disease-related pressures because this type of culture system is isolated from the environment. Further, stocking closed systems with disease-free eggs or fry results in a much higher degree of biosecurity and protection from disease. We expect that production and economic losses due to disease will be significantly less in the closed, land-based culture systems proposed for the production of AquAdvantage</w:t>
      </w:r>
      <w:r>
        <w:rPr>
          <w:rFonts w:ascii="Arial" w:cs="Arial" w:eastAsia="Arial" w:hAnsi="Arial"/>
          <w:sz w:val="15"/>
          <w:szCs w:val="15"/>
          <w:color w:val="auto"/>
        </w:rPr>
        <w:t>®</w:t>
      </w:r>
      <w:r>
        <w:rPr>
          <w:rFonts w:ascii="Arial" w:cs="Arial" w:eastAsia="Arial" w:hAnsi="Arial"/>
          <w:sz w:val="18"/>
          <w:szCs w:val="18"/>
          <w:color w:val="auto"/>
        </w:rPr>
        <w:t xml:space="preserve"> Salmon, because of greater control over environmental conditions and superior biosecurity than in traditional Atlantic salmon production systems.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Atlantic Salmon Farming</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Environmental concerns have led certain states to impose legislative restrictions or bans on the farming of Atlantic salmon. This could reduce the number of potential sites available to us for production farms in the United States. Nevertheless, we expect that many states will offer excellent potential sites for AquAdvantage</w:t>
      </w:r>
      <w:r>
        <w:rPr>
          <w:rFonts w:ascii="Arial" w:cs="Arial" w:eastAsia="Arial" w:hAnsi="Arial"/>
          <w:sz w:val="15"/>
          <w:szCs w:val="15"/>
          <w:color w:val="auto"/>
        </w:rPr>
        <w:t>®</w:t>
      </w:r>
      <w:r>
        <w:rPr>
          <w:rFonts w:ascii="Arial" w:cs="Arial" w:eastAsia="Arial" w:hAnsi="Arial"/>
          <w:sz w:val="18"/>
          <w:szCs w:val="18"/>
          <w:color w:val="auto"/>
        </w:rPr>
        <w:t xml:space="preserve"> Salmon production systems.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12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product, AquAdvantage</w:t>
      </w:r>
      <w:r>
        <w:rPr>
          <w:rFonts w:ascii="Arial" w:cs="Arial" w:eastAsia="Arial" w:hAnsi="Arial"/>
          <w:sz w:val="15"/>
          <w:szCs w:val="15"/>
          <w:color w:val="auto"/>
        </w:rPr>
        <w:t>®</w:t>
      </w:r>
      <w:r>
        <w:rPr>
          <w:rFonts w:ascii="Arial" w:cs="Arial" w:eastAsia="Arial" w:hAnsi="Arial"/>
          <w:sz w:val="18"/>
          <w:szCs w:val="18"/>
          <w:color w:val="auto"/>
        </w:rPr>
        <w:t xml:space="preserve"> Salmon, is a genetically modified Atlantic salmon that can grow to marketable size in about half the time of traditional farmed Atlantic salmon. By placing the salmon growth hormone under the control of an alternative genetic promoter (gene switch) from the edible marine fish, ocean pout, more consistent levels of growth hormone are released, which accelerates the early stages of the salmon’s development. The AquAdvantage</w:t>
      </w:r>
      <w:r>
        <w:rPr>
          <w:rFonts w:ascii="Arial" w:cs="Arial" w:eastAsia="Arial" w:hAnsi="Arial"/>
          <w:sz w:val="15"/>
          <w:szCs w:val="15"/>
          <w:color w:val="auto"/>
        </w:rPr>
        <w:t>®</w:t>
      </w:r>
      <w:r>
        <w:rPr>
          <w:rFonts w:ascii="Arial" w:cs="Arial" w:eastAsia="Arial" w:hAnsi="Arial"/>
          <w:sz w:val="18"/>
          <w:szCs w:val="18"/>
          <w:color w:val="auto"/>
        </w:rPr>
        <w:t xml:space="preserve"> Salmon do not reach a larger final size than their traditional counterparts, but by accelerating growth in the early stages of rearing, these fish can reach a marketable size sooner. In the case of Atlantic salmon, this can reduce farming time from 28 to 36 months to 18 to 20 months.</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This accelerated growth has several advantages, both economic and environmental. The faster life cycle, from birth to harvesting, of AquAdvantage</w:t>
      </w:r>
      <w:r>
        <w:rPr>
          <w:rFonts w:ascii="Arial" w:cs="Arial" w:eastAsia="Arial" w:hAnsi="Arial"/>
          <w:sz w:val="15"/>
          <w:szCs w:val="15"/>
          <w:color w:val="auto"/>
        </w:rPr>
        <w:t>®</w:t>
      </w:r>
      <w:r>
        <w:rPr>
          <w:rFonts w:ascii="Arial" w:cs="Arial" w:eastAsia="Arial" w:hAnsi="Arial"/>
          <w:sz w:val="18"/>
          <w:szCs w:val="18"/>
          <w:color w:val="auto"/>
        </w:rPr>
        <w:t xml:space="preserve"> Salmon as compared to conventional salmon would allow it to be produced more economically in contained inland systems. Although this would require greater capital investment than the sea cage system, we believe that the higher costs would be offset by more efficient growth, better feed conversion and more effective control of disease. In addition, with a facility located nearer to the major food markets, there would be savings on transportation of the harvested stock as well as the ability to get fresh product to market faster.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core business is to develop and market superior products to improve productivity in aquaculture. Our first product is the AquAdvantage</w:t>
      </w:r>
      <w:r>
        <w:rPr>
          <w:rFonts w:ascii="Arial" w:cs="Arial" w:eastAsia="Arial" w:hAnsi="Arial"/>
          <w:sz w:val="15"/>
          <w:szCs w:val="15"/>
          <w:color w:val="auto"/>
        </w:rPr>
        <w:t>®</w:t>
      </w:r>
      <w:r>
        <w:rPr>
          <w:rFonts w:ascii="Arial" w:cs="Arial" w:eastAsia="Arial" w:hAnsi="Arial"/>
          <w:sz w:val="18"/>
          <w:szCs w:val="18"/>
          <w:color w:val="auto"/>
        </w:rPr>
        <w:t xml:space="preserve"> Salmon egg, which is currently under FDA review. Our business plan contemplates that, once regulatory approval for the human consumption of AquAdvantage</w:t>
      </w:r>
      <w:r>
        <w:rPr>
          <w:rFonts w:ascii="Arial" w:cs="Arial" w:eastAsia="Arial" w:hAnsi="Arial"/>
          <w:sz w:val="15"/>
          <w:szCs w:val="15"/>
          <w:color w:val="auto"/>
        </w:rPr>
        <w:t>®</w:t>
      </w:r>
      <w:r>
        <w:rPr>
          <w:rFonts w:ascii="Arial" w:cs="Arial" w:eastAsia="Arial" w:hAnsi="Arial"/>
          <w:sz w:val="18"/>
          <w:szCs w:val="18"/>
          <w:color w:val="auto"/>
        </w:rPr>
        <w:t xml:space="preserve"> Salmon in the United States is obtained, we will produce and sell AquAdvantage</w:t>
      </w:r>
      <w:r>
        <w:rPr>
          <w:rFonts w:ascii="Arial" w:cs="Arial" w:eastAsia="Arial" w:hAnsi="Arial"/>
          <w:sz w:val="15"/>
          <w:szCs w:val="15"/>
          <w:color w:val="auto"/>
        </w:rPr>
        <w:t>®</w:t>
      </w:r>
      <w:r>
        <w:rPr>
          <w:rFonts w:ascii="Arial" w:cs="Arial" w:eastAsia="Arial" w:hAnsi="Arial"/>
          <w:sz w:val="18"/>
          <w:szCs w:val="18"/>
          <w:color w:val="auto"/>
        </w:rPr>
        <w:t xml:space="preserve"> Salmon eggs for commercial production.</w:t>
      </w:r>
    </w:p>
    <w:p>
      <w:pPr>
        <w:spacing w:after="0" w:line="20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As we scale up our production capabilities following receipt of FDA approval, we currently plan to apply for regulatory approval of a second hatchery that would likely be located in the United States. We also currently plan to increase our supply of unfertilized Atlantic salmon eggs through either the expansion of our existing Canadian hatchery or through the purchase of an existing egg producer. We may also apply to engage in commercial production of AquAdvantage</w:t>
      </w:r>
      <w:r>
        <w:rPr>
          <w:rFonts w:ascii="Arial" w:cs="Arial" w:eastAsia="Arial" w:hAnsi="Arial"/>
          <w:sz w:val="15"/>
          <w:szCs w:val="15"/>
          <w:color w:val="auto"/>
        </w:rPr>
        <w:t>®</w:t>
      </w:r>
      <w:r>
        <w:rPr>
          <w:rFonts w:ascii="Arial" w:cs="Arial" w:eastAsia="Arial" w:hAnsi="Arial"/>
          <w:sz w:val="18"/>
          <w:szCs w:val="18"/>
          <w:color w:val="auto"/>
        </w:rPr>
        <w:t xml:space="preserve"> Salmon through the construction and operation in the United States of land-based recirculating aquaculture system facilities, which are closed-loop</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production systems that filter and recycle water. Our ability to pursue some or all of these plans is subject to uncertainties, including the receipt of necessary regulatory approvals and our ability to obtain financing on acceptable terms or at all. The uncertainty of the timing of the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makes it difficult to create a definitive plan beyond the short-term. Upon receipt of FDA approval, we expect to finalize our operational plan and move forward with our expansion, which may require us to seek to raise additional funds. In the meantime, we are searching for potential acquisition targets that would meet our anticipated requirements for Atlantic salmon egg production.</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intend to continue investing in research and development. We anticipate that our research and development expenditures will increase as we continue to develop our other AquAdvantage</w:t>
      </w:r>
      <w:r>
        <w:rPr>
          <w:rFonts w:ascii="Arial" w:cs="Arial" w:eastAsia="Arial" w:hAnsi="Arial"/>
          <w:sz w:val="15"/>
          <w:szCs w:val="15"/>
          <w:color w:val="auto"/>
        </w:rPr>
        <w:t>®</w:t>
      </w:r>
      <w:r>
        <w:rPr>
          <w:rFonts w:ascii="Arial" w:cs="Arial" w:eastAsia="Arial" w:hAnsi="Arial"/>
          <w:sz w:val="18"/>
          <w:szCs w:val="18"/>
          <w:color w:val="auto"/>
        </w:rPr>
        <w:t xml:space="preserve"> fish products and as we initiate new development projects under the Exclusive Channel Collaboration Agreement, or ECC, that we entered into in February 2013 with Intrexon. See “—Research and Development.” The timeline for development projects will depend on many factors, but could extend beyond ten to fifteen years, taking into account the time needed for development, regulatory approval and pre-marketing activities.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Any additions to headcount in our research and production activities will depend in large part on the number of development activities we undertake and the success of our commercialization efforts for AquAdvantage</w:t>
      </w:r>
      <w:r>
        <w:rPr>
          <w:rFonts w:ascii="Arial" w:cs="Arial" w:eastAsia="Arial" w:hAnsi="Arial"/>
          <w:sz w:val="15"/>
          <w:szCs w:val="15"/>
          <w:color w:val="auto"/>
        </w:rPr>
        <w:t>®</w:t>
      </w:r>
      <w:r>
        <w:rPr>
          <w:rFonts w:ascii="Arial" w:cs="Arial" w:eastAsia="Arial" w:hAnsi="Arial"/>
          <w:sz w:val="18"/>
          <w:szCs w:val="18"/>
          <w:color w:val="auto"/>
        </w:rPr>
        <w:t xml:space="preserve"> Salmon. We expect to increase our headcount in administration at our corporate headquarters as we begin to commercialize our product and as a result of being a public reporting company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1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FDA approval of the NADA is received, we expect to market AquAdvantage</w:t>
      </w:r>
      <w:r>
        <w:rPr>
          <w:rFonts w:ascii="Arial" w:cs="Arial" w:eastAsia="Arial" w:hAnsi="Arial"/>
          <w:sz w:val="15"/>
          <w:szCs w:val="15"/>
          <w:color w:val="auto"/>
        </w:rPr>
        <w:t>®</w:t>
      </w:r>
      <w:r>
        <w:rPr>
          <w:rFonts w:ascii="Arial" w:cs="Arial" w:eastAsia="Arial" w:hAnsi="Arial"/>
          <w:sz w:val="18"/>
          <w:szCs w:val="18"/>
          <w:color w:val="auto"/>
        </w:rPr>
        <w:t xml:space="preserve"> Salmon throughout the United States. In addition, we intend to focus on those significant fish farming markets where we believe we will have success in gaining regulatory approval and consumer acceptance. We currently expect to market AquAdvantage</w:t>
      </w:r>
      <w:r>
        <w:rPr>
          <w:rFonts w:ascii="Arial" w:cs="Arial" w:eastAsia="Arial" w:hAnsi="Arial"/>
          <w:sz w:val="15"/>
          <w:szCs w:val="15"/>
          <w:color w:val="auto"/>
        </w:rPr>
        <w:t>®</w:t>
      </w:r>
      <w:r>
        <w:rPr>
          <w:rFonts w:ascii="Arial" w:cs="Arial" w:eastAsia="Arial" w:hAnsi="Arial"/>
          <w:sz w:val="18"/>
          <w:szCs w:val="18"/>
          <w:color w:val="auto"/>
        </w:rPr>
        <w:t xml:space="preserve"> Salmon in the United States, Canada, Argentina, Brazil and China following receipt of required regulatory approvals in the applicable jurisdiction.</w:t>
      </w:r>
    </w:p>
    <w:p>
      <w:pPr>
        <w:spacing w:after="0" w:line="20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Initially, we expect the cost of production for each AquAdvantage</w:t>
      </w:r>
      <w:r>
        <w:rPr>
          <w:rFonts w:ascii="Arial" w:cs="Arial" w:eastAsia="Arial" w:hAnsi="Arial"/>
          <w:sz w:val="15"/>
          <w:szCs w:val="15"/>
          <w:color w:val="auto"/>
        </w:rPr>
        <w:t>®</w:t>
      </w:r>
      <w:r>
        <w:rPr>
          <w:rFonts w:ascii="Arial" w:cs="Arial" w:eastAsia="Arial" w:hAnsi="Arial"/>
          <w:sz w:val="18"/>
          <w:szCs w:val="18"/>
          <w:color w:val="auto"/>
        </w:rPr>
        <w:t xml:space="preserve"> Salmon egg will be higher than the industry norm, but will fall significantly once volume production increases. While no pricing structure has been set, we believe that the cost savings associated with AquAdvantage</w:t>
      </w:r>
      <w:r>
        <w:rPr>
          <w:rFonts w:ascii="Arial" w:cs="Arial" w:eastAsia="Arial" w:hAnsi="Arial"/>
          <w:sz w:val="15"/>
          <w:szCs w:val="15"/>
          <w:color w:val="auto"/>
        </w:rPr>
        <w:t>®</w:t>
      </w:r>
      <w:r>
        <w:rPr>
          <w:rFonts w:ascii="Arial" w:cs="Arial" w:eastAsia="Arial" w:hAnsi="Arial"/>
          <w:sz w:val="18"/>
          <w:szCs w:val="18"/>
          <w:color w:val="auto"/>
        </w:rPr>
        <w:t xml:space="preserve"> Salmon resulting from the ability to spread fixed costs over a greater number of fish and reduced grow-out time will allow AquAdvantage</w:t>
      </w:r>
      <w:r>
        <w:rPr>
          <w:rFonts w:ascii="Arial" w:cs="Arial" w:eastAsia="Arial" w:hAnsi="Arial"/>
          <w:sz w:val="15"/>
          <w:szCs w:val="15"/>
          <w:color w:val="auto"/>
        </w:rPr>
        <w:t>®</w:t>
      </w:r>
      <w:r>
        <w:rPr>
          <w:rFonts w:ascii="Arial" w:cs="Arial" w:eastAsia="Arial" w:hAnsi="Arial"/>
          <w:sz w:val="18"/>
          <w:szCs w:val="18"/>
          <w:color w:val="auto"/>
        </w:rPr>
        <w:t xml:space="preserve"> Salmon eggs to sell at a premium to standard Atlantic salmon eggs.</w:t>
      </w:r>
    </w:p>
    <w:p>
      <w:pPr>
        <w:spacing w:after="0" w:line="2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salmon distribution system in the United States is complex and varied. Participants include fishermen, fish farmers, processors, importers, secondary processors, broadline distributors, specialty seafood distributors, brokers, traders and many different kinds of retail and food service companies. Salmon distribution channels are evolving, with fewer and larger distributors handling an increasing share of total volume, and an increasing share of salmon being sold directly by large fish-farming companies and large wild salmon processors to large retail and food service chains. We expect that harvested AquAdvantage</w:t>
      </w:r>
      <w:r>
        <w:rPr>
          <w:rFonts w:ascii="Arial" w:cs="Arial" w:eastAsia="Arial" w:hAnsi="Arial"/>
          <w:sz w:val="15"/>
          <w:szCs w:val="15"/>
          <w:color w:val="auto"/>
        </w:rPr>
        <w:t>®</w:t>
      </w:r>
      <w:r>
        <w:rPr>
          <w:rFonts w:ascii="Arial" w:cs="Arial" w:eastAsia="Arial" w:hAnsi="Arial"/>
          <w:sz w:val="18"/>
          <w:szCs w:val="18"/>
          <w:color w:val="auto"/>
        </w:rPr>
        <w:t xml:space="preserve"> Salmon will be sold into this distribution network.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opened an Investigational New Animal Drug file for AquAdvantage</w:t>
      </w:r>
      <w:r>
        <w:rPr>
          <w:rFonts w:ascii="Arial" w:cs="Arial" w:eastAsia="Arial" w:hAnsi="Arial"/>
          <w:sz w:val="15"/>
          <w:szCs w:val="15"/>
          <w:color w:val="auto"/>
        </w:rPr>
        <w:t>®</w:t>
      </w:r>
      <w:r>
        <w:rPr>
          <w:rFonts w:ascii="Arial" w:cs="Arial" w:eastAsia="Arial" w:hAnsi="Arial"/>
          <w:sz w:val="18"/>
          <w:szCs w:val="18"/>
          <w:color w:val="auto"/>
        </w:rPr>
        <w:t xml:space="preserve"> Salmon with the FDA in 1995. At that time, there was no defined regulatory framework for the regulation of genetically engineered animals. There were, however, certain studies that were generally acknowledged to be necessary for an eventual approval process, and we commenced work on those studies and began a phased submission of studies to the FDA that ultimately were responsive to each technical section of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NADA. These technical sections require submission of studies relating to molecular characterization of the construct, molecular characterization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lineage, phenotypic characterization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a genotypic and phenotypic durability plan, support for environmental, food and feed safety and claim validation. The FDA’s phased review process, which included a cycle of study conduct, submission, review and acceptance, continued over the period from 1995 to 2010. The following is a summary of certain submissions relating to the technical section of the NADA that we made to the FDA’s Center for Veterinary Medicine, or the CVM, during this period:</w:t>
      </w:r>
    </w:p>
    <w:p>
      <w:pPr>
        <w:spacing w:after="0" w:line="111" w:lineRule="exact"/>
        <w:rPr>
          <w:sz w:val="20"/>
          <w:szCs w:val="20"/>
          <w:color w:val="auto"/>
        </w:rPr>
      </w:pPr>
    </w:p>
    <w:p>
      <w:pPr>
        <w:ind w:left="900" w:right="16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2006, we submitted to the CVM the last correspondence for the review of the molecular characterization of the AquAdvantage</w:t>
      </w:r>
      <w:r>
        <w:rPr>
          <w:rFonts w:ascii="Arial" w:cs="Arial" w:eastAsia="Arial" w:hAnsi="Arial"/>
          <w:sz w:val="15"/>
          <w:szCs w:val="15"/>
          <w:color w:val="auto"/>
        </w:rPr>
        <w:t>®</w:t>
      </w:r>
      <w:r>
        <w:rPr>
          <w:rFonts w:ascii="Arial" w:cs="Arial" w:eastAsia="Arial" w:hAnsi="Arial"/>
          <w:sz w:val="18"/>
          <w:szCs w:val="18"/>
          <w:color w:val="auto"/>
        </w:rPr>
        <w:t xml:space="preserve"> construct. On October 6, 2006, we received a letter from the CVM stating “the data and information that you have submitted adequately supports the molecular characterization of the opAFP-GHc2 construct.”</w:t>
      </w:r>
    </w:p>
    <w:p>
      <w:pPr>
        <w:spacing w:after="0" w:line="108" w:lineRule="exact"/>
        <w:rPr>
          <w:rFonts w:ascii="Arial" w:cs="Arial" w:eastAsia="Arial" w:hAnsi="Arial"/>
          <w:sz w:val="18"/>
          <w:szCs w:val="18"/>
          <w:color w:val="auto"/>
        </w:rPr>
      </w:pPr>
    </w:p>
    <w:p>
      <w:pPr>
        <w:ind w:left="900" w:right="220" w:hanging="325"/>
        <w:spacing w:after="0" w:line="23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2007, we submitted to the CVM the last correspondence for the review of the molecular characterization of the AquAdvantage</w:t>
      </w:r>
      <w:r>
        <w:rPr>
          <w:rFonts w:ascii="Arial" w:cs="Arial" w:eastAsia="Arial" w:hAnsi="Arial"/>
          <w:sz w:val="15"/>
          <w:szCs w:val="15"/>
          <w:color w:val="auto"/>
        </w:rPr>
        <w:t>®</w:t>
      </w:r>
      <w:r>
        <w:rPr>
          <w:rFonts w:ascii="Arial" w:cs="Arial" w:eastAsia="Arial" w:hAnsi="Arial"/>
          <w:sz w:val="18"/>
          <w:szCs w:val="18"/>
          <w:color w:val="auto"/>
        </w:rPr>
        <w:t xml:space="preserve"> Salmon lineage. On July 2, 2008, we received a letter from the CVM stating “[w]e have reviewed the data and information you have submitted in support of the molecular characterization of the genetically engineered (GE) salmon referred to as ‘AquAdvantage Salmon’ and find that it is adequate support to conclude the molecular characterization of the inserted rDNA construct and GE animal lineage step of our review.”</w:t>
      </w:r>
    </w:p>
    <w:p>
      <w:pPr>
        <w:spacing w:after="0" w:line="105" w:lineRule="exact"/>
        <w:rPr>
          <w:rFonts w:ascii="Arial" w:cs="Arial" w:eastAsia="Arial" w:hAnsi="Arial"/>
          <w:sz w:val="18"/>
          <w:szCs w:val="18"/>
          <w:color w:val="auto"/>
        </w:rPr>
      </w:pPr>
    </w:p>
    <w:p>
      <w:pPr>
        <w:jc w:val="both"/>
        <w:ind w:left="900" w:hanging="325"/>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July 2009, we submitted to the CVM the last of the correspondence for the review of AquAdvantage</w:t>
      </w:r>
      <w:r>
        <w:rPr>
          <w:rFonts w:ascii="Arial" w:cs="Arial" w:eastAsia="Arial" w:hAnsi="Arial"/>
          <w:sz w:val="15"/>
          <w:szCs w:val="15"/>
          <w:color w:val="auto"/>
        </w:rPr>
        <w:t>®</w:t>
      </w:r>
      <w:r>
        <w:rPr>
          <w:rFonts w:ascii="Arial" w:cs="Arial" w:eastAsia="Arial" w:hAnsi="Arial"/>
          <w:sz w:val="18"/>
          <w:szCs w:val="18"/>
          <w:color w:val="auto"/>
        </w:rPr>
        <w:t xml:space="preserve"> Salmon claim validation. On March 12, 2010, we received a letter from the CVM stating “[w]e have reviewed the data and information that you have submitted in support of the Claim Validation of the genetically engineered (GE) salmon referred to as ‘AquAdvantage Salmon’, and consider this section complete.”</w:t>
      </w:r>
    </w:p>
    <w:p>
      <w:pPr>
        <w:spacing w:after="0" w:line="109"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December 2009, we submitted to the CVM the last of the correspondence for the review of the phenotypic characterization of AquAdvantage</w:t>
      </w:r>
      <w:r>
        <w:rPr>
          <w:rFonts w:ascii="Arial" w:cs="Arial" w:eastAsia="Arial" w:hAnsi="Arial"/>
          <w:sz w:val="14"/>
          <w:szCs w:val="14"/>
          <w:color w:val="auto"/>
        </w:rPr>
        <w:t>®</w:t>
      </w:r>
      <w:r>
        <w:rPr>
          <w:rFonts w:ascii="Arial" w:cs="Arial" w:eastAsia="Arial" w:hAnsi="Arial"/>
          <w:sz w:val="17"/>
          <w:szCs w:val="17"/>
          <w:color w:val="auto"/>
        </w:rPr>
        <w:t xml:space="preserve"> Salmon. On June 4, 2010, we received a letter from the CVM stating “[w]e have reviewed the data and information that you have submitted in support of the phenotypic characterization of the genetically engineered (GE) salmon referred to as ‘AquAdvantage Salmon’ and find that it is adequate support to conclude the phenotypic characterization step of our review.”</w:t>
      </w:r>
    </w:p>
    <w:p>
      <w:pPr>
        <w:spacing w:after="0" w:line="94" w:lineRule="exact"/>
        <w:rPr>
          <w:rFonts w:ascii="Arial" w:cs="Arial" w:eastAsia="Arial" w:hAnsi="Arial"/>
          <w:sz w:val="17"/>
          <w:szCs w:val="17"/>
          <w:color w:val="auto"/>
        </w:rPr>
      </w:pPr>
    </w:p>
    <w:p>
      <w:pPr>
        <w:ind w:left="900" w:right="140" w:hanging="325"/>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March 2010, we submitted to the CVM the final correspondence for the review of data submitted in support of the safety of food from AquAdvantage Salmon. On August 27, 2010, we received a letter from the CVM stating “[w]e have reviewed the data and information that you have submitted in support of the food safety assessment of food from the genetically engineered (GE) salmon referred to as ‘AquAdvantage Salmon’ and find that it is adequate to conclude our evaluation of food safety.”</w:t>
      </w:r>
    </w:p>
    <w:p>
      <w:pPr>
        <w:spacing w:after="0" w:line="107" w:lineRule="exact"/>
        <w:rPr>
          <w:rFonts w:ascii="Arial" w:cs="Arial" w:eastAsia="Arial" w:hAnsi="Arial"/>
          <w:sz w:val="18"/>
          <w:szCs w:val="18"/>
          <w:color w:val="auto"/>
        </w:rPr>
      </w:pPr>
    </w:p>
    <w:p>
      <w:pPr>
        <w:ind w:left="900" w:right="220" w:hanging="325"/>
        <w:spacing w:after="0" w:line="23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2010, we submitted to the CVM the last of the correspondence for the review of the genotypic and phenotypic durability of AquAdvantage</w:t>
      </w:r>
      <w:r>
        <w:rPr>
          <w:rFonts w:ascii="Arial" w:cs="Arial" w:eastAsia="Arial" w:hAnsi="Arial"/>
          <w:sz w:val="15"/>
          <w:szCs w:val="15"/>
          <w:color w:val="auto"/>
        </w:rPr>
        <w:t>®</w:t>
      </w:r>
      <w:r>
        <w:rPr>
          <w:rFonts w:ascii="Arial" w:cs="Arial" w:eastAsia="Arial" w:hAnsi="Arial"/>
          <w:sz w:val="18"/>
          <w:szCs w:val="18"/>
          <w:color w:val="auto"/>
        </w:rPr>
        <w:t xml:space="preserve"> Salmon. On June 11, 2010, we received a letter from the CVM stating “[w]e have reviewed the data and information that you have submitted in support of the Genotypic and Phenotypic Durability of the genetically engineered (GE) salmon referred to as ‘AquAdvantage Salmon’ and find that you have adequately supported the Genotypic and Phenotypic Durability step of our review.”</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By the Spring of 2010, we had submitted to the FDA data for each technical submission requirement for approval under the NADA. By the Fall of 2010, we had received from the FDA technical section complete letters for each submission requirement. We have not received any written conclusions from the FDA of non-acceptance of data submitted for any technical section of the NADA or for the environmental assessment described below.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right="500"/>
        <w:spacing w:after="0" w:line="249" w:lineRule="auto"/>
        <w:rPr>
          <w:sz w:val="20"/>
          <w:szCs w:val="20"/>
          <w:color w:val="auto"/>
        </w:rPr>
      </w:pPr>
      <w:r>
        <w:rPr>
          <w:rFonts w:ascii="Arial" w:cs="Arial" w:eastAsia="Arial" w:hAnsi="Arial"/>
          <w:sz w:val="18"/>
          <w:szCs w:val="18"/>
          <w:color w:val="auto"/>
        </w:rPr>
        <w:t>Following this process, the FDA concluded that AquAdvantage</w:t>
      </w:r>
      <w:r>
        <w:rPr>
          <w:rFonts w:ascii="Arial" w:cs="Arial" w:eastAsia="Arial" w:hAnsi="Arial"/>
          <w:sz w:val="15"/>
          <w:szCs w:val="15"/>
          <w:color w:val="auto"/>
        </w:rPr>
        <w:t>®</w:t>
      </w:r>
      <w:r>
        <w:rPr>
          <w:rFonts w:ascii="Arial" w:cs="Arial" w:eastAsia="Arial" w:hAnsi="Arial"/>
          <w:sz w:val="18"/>
          <w:szCs w:val="18"/>
          <w:color w:val="auto"/>
        </w:rPr>
        <w:t xml:space="preserve"> Salmon “is as safe as food from conventional salmon, and that there is a reasonable certainty of no harm from consumption of food” from AquAdvantage</w:t>
      </w:r>
      <w:r>
        <w:rPr>
          <w:rFonts w:ascii="Arial" w:cs="Arial" w:eastAsia="Arial" w:hAnsi="Arial"/>
          <w:sz w:val="15"/>
          <w:szCs w:val="15"/>
          <w:color w:val="auto"/>
        </w:rPr>
        <w:t>®</w:t>
      </w:r>
      <w:r>
        <w:rPr>
          <w:rFonts w:ascii="Arial" w:cs="Arial" w:eastAsia="Arial" w:hAnsi="Arial"/>
          <w:sz w:val="18"/>
          <w:szCs w:val="18"/>
          <w:color w:val="auto"/>
        </w:rPr>
        <w:t xml:space="preserve"> Salmon.</w:t>
      </w:r>
    </w:p>
    <w:p>
      <w:pPr>
        <w:spacing w:after="0" w:line="19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September 2010, the FDA held a public meeting of its Veterinary Medicine Advisory Committee, or the VMAC, to review the FDA’s findings regarding AquAdvantage</w:t>
      </w:r>
      <w:r>
        <w:rPr>
          <w:rFonts w:ascii="Arial" w:cs="Arial" w:eastAsia="Arial" w:hAnsi="Arial"/>
          <w:sz w:val="15"/>
          <w:szCs w:val="15"/>
          <w:color w:val="auto"/>
        </w:rPr>
        <w:t>®</w:t>
      </w:r>
      <w:r>
        <w:rPr>
          <w:rFonts w:ascii="Arial" w:cs="Arial" w:eastAsia="Arial" w:hAnsi="Arial"/>
          <w:sz w:val="18"/>
          <w:szCs w:val="18"/>
          <w:color w:val="auto"/>
        </w:rPr>
        <w:t xml:space="preserve"> Salmon. The VMAC, which was disbanded in September 2013, was a group of independent experts charged with providing scientific advice to the FDA on animal drug and food issues. The VMAC had no authoritative power regarding the approval of the NADA but was convened to listen to the results of the FDA review process and to provide an outside opinion on the FDA’s conclusions. At the public meeting, the FDA posed four questions to the VMAC relating to the safety and effectiveness of AquAdvantage</w:t>
      </w:r>
      <w:r>
        <w:rPr>
          <w:rFonts w:ascii="Arial" w:cs="Arial" w:eastAsia="Arial" w:hAnsi="Arial"/>
          <w:sz w:val="15"/>
          <w:szCs w:val="15"/>
          <w:color w:val="auto"/>
        </w:rPr>
        <w:t>®</w:t>
      </w:r>
      <w:r>
        <w:rPr>
          <w:rFonts w:ascii="Arial" w:cs="Arial" w:eastAsia="Arial" w:hAnsi="Arial"/>
          <w:sz w:val="18"/>
          <w:szCs w:val="18"/>
          <w:color w:val="auto"/>
        </w:rPr>
        <w:t xml:space="preserve"> Salmon, including safety to the animal, safety of consumption, safety to the environment and effectiveness of the growth gene. The Chairman’s Report of the VMAC relating to the public meeting stated that (1) the VMAC found no evidence to conclude that the gene construct was unsafe to the animal, (2) a large number of the test results studied by the VMAC established similarities and equivalence between AquAdvantage</w:t>
      </w:r>
      <w:r>
        <w:rPr>
          <w:rFonts w:ascii="Arial" w:cs="Arial" w:eastAsia="Arial" w:hAnsi="Arial"/>
          <w:sz w:val="15"/>
          <w:szCs w:val="15"/>
          <w:color w:val="auto"/>
        </w:rPr>
        <w:t>®</w:t>
      </w:r>
      <w:r>
        <w:rPr>
          <w:rFonts w:ascii="Arial" w:cs="Arial" w:eastAsia="Arial" w:hAnsi="Arial"/>
          <w:sz w:val="18"/>
          <w:szCs w:val="18"/>
          <w:color w:val="auto"/>
        </w:rPr>
        <w:t xml:space="preserve"> Salmon and traditional Atlantic salmon and that the levels of growth hormone contained in AquAdvantage</w:t>
      </w:r>
      <w:r>
        <w:rPr>
          <w:rFonts w:ascii="Arial" w:cs="Arial" w:eastAsia="Arial" w:hAnsi="Arial"/>
          <w:sz w:val="15"/>
          <w:szCs w:val="15"/>
          <w:color w:val="auto"/>
        </w:rPr>
        <w:t>®</w:t>
      </w:r>
      <w:r>
        <w:rPr>
          <w:rFonts w:ascii="Arial" w:cs="Arial" w:eastAsia="Arial" w:hAnsi="Arial"/>
          <w:sz w:val="18"/>
          <w:szCs w:val="18"/>
          <w:color w:val="auto"/>
        </w:rPr>
        <w:t xml:space="preserve"> Salmon did not appear to be biologically relevant from a food safety standpoint, although the VMAC noted that it could not conclude from the data submitted that AquAdvantage</w:t>
      </w:r>
      <w:r>
        <w:rPr>
          <w:rFonts w:ascii="Arial" w:cs="Arial" w:eastAsia="Arial" w:hAnsi="Arial"/>
          <w:sz w:val="15"/>
          <w:szCs w:val="15"/>
          <w:color w:val="auto"/>
        </w:rPr>
        <w:t>®</w:t>
      </w:r>
      <w:r>
        <w:rPr>
          <w:rFonts w:ascii="Arial" w:cs="Arial" w:eastAsia="Arial" w:hAnsi="Arial"/>
          <w:sz w:val="18"/>
          <w:szCs w:val="18"/>
          <w:color w:val="auto"/>
        </w:rPr>
        <w:t xml:space="preserve"> Salmon would be more or less allergenic than traditional Atlantic salmon, (3) the multitude of barriers to escape of AquAdvantage</w:t>
      </w:r>
      <w:r>
        <w:rPr>
          <w:rFonts w:ascii="Arial" w:cs="Arial" w:eastAsia="Arial" w:hAnsi="Arial"/>
          <w:sz w:val="15"/>
          <w:szCs w:val="15"/>
          <w:color w:val="auto"/>
        </w:rPr>
        <w:t>®</w:t>
      </w:r>
      <w:r>
        <w:rPr>
          <w:rFonts w:ascii="Arial" w:cs="Arial" w:eastAsia="Arial" w:hAnsi="Arial"/>
          <w:sz w:val="18"/>
          <w:szCs w:val="18"/>
          <w:color w:val="auto"/>
        </w:rPr>
        <w:t xml:space="preserve"> Salmon at both our Prince Edward Island and Panama facilities were extensive, mitigating the potential environmental impact of escape and (4) there was evidence to support our claim that AquAdvantage</w:t>
      </w:r>
      <w:r>
        <w:rPr>
          <w:rFonts w:ascii="Arial" w:cs="Arial" w:eastAsia="Arial" w:hAnsi="Arial"/>
          <w:sz w:val="15"/>
          <w:szCs w:val="15"/>
          <w:color w:val="auto"/>
        </w:rPr>
        <w:t>®</w:t>
      </w:r>
      <w:r>
        <w:rPr>
          <w:rFonts w:ascii="Arial" w:cs="Arial" w:eastAsia="Arial" w:hAnsi="Arial"/>
          <w:sz w:val="18"/>
          <w:szCs w:val="18"/>
          <w:color w:val="auto"/>
        </w:rPr>
        <w:t xml:space="preserve"> Salmon grows faster than traditional Atlantic salmon. The VMAC did not vote or make a recommendation on whether to approve the NADA and certain members of the panel recommended additional monitoring to determine whether the growing conditions could cause health abnormalities. While the FDA is not bound by the VMAC’s recommendations or opinions, the VMAC did not dispute the FDA’s conclusions that AquAdvantage</w:t>
      </w:r>
      <w:r>
        <w:rPr>
          <w:rFonts w:ascii="Arial" w:cs="Arial" w:eastAsia="Arial" w:hAnsi="Arial"/>
          <w:sz w:val="15"/>
          <w:szCs w:val="15"/>
          <w:color w:val="auto"/>
        </w:rPr>
        <w:t>®</w:t>
      </w:r>
      <w:r>
        <w:rPr>
          <w:rFonts w:ascii="Arial" w:cs="Arial" w:eastAsia="Arial" w:hAnsi="Arial"/>
          <w:sz w:val="18"/>
          <w:szCs w:val="18"/>
          <w:color w:val="auto"/>
        </w:rPr>
        <w:t xml:space="preserve"> Salmon is safe for human consumption.</w:t>
      </w:r>
    </w:p>
    <w:p>
      <w:pPr>
        <w:spacing w:after="0" w:line="21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On December 26, 2012, the FDA published its environmental assessment, or EA, for AquAdvantage</w:t>
      </w:r>
      <w:r>
        <w:rPr>
          <w:rFonts w:ascii="Arial" w:cs="Arial" w:eastAsia="Arial" w:hAnsi="Arial"/>
          <w:sz w:val="15"/>
          <w:szCs w:val="15"/>
          <w:color w:val="auto"/>
        </w:rPr>
        <w:t>®</w:t>
      </w:r>
      <w:r>
        <w:rPr>
          <w:rFonts w:ascii="Arial" w:cs="Arial" w:eastAsia="Arial" w:hAnsi="Arial"/>
          <w:sz w:val="18"/>
          <w:szCs w:val="18"/>
          <w:color w:val="auto"/>
        </w:rPr>
        <w:t xml:space="preserve"> Salmon, along with its preliminary Finding of No Significant Impact, or FONSI, confirming that an approval of the pending NADA would not have an adverse effect on the environment. The FDA opened up a 60-day period for public comment on the EA and preliminary FONSI. On February 13, 2013, the FDA extended the period for public comment by an additional 60 days and that period expired April 26, 2013.</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July 2014, we submitted to the FDA revised label and package insert information, which updated label and package insert information that we initially submitted to the FDA in April 2011. The submission of revised label and package insert information was in response to a June 2014 request from the FDA to revise and update the initial submission. Under the NADA review process, we are required to submit to the FDA from time to time information responsive to an “all other information” portion of the NADA, which requires the submission of information, not included in any of the technical sections, that comes to our attention and is pertinent to an evaluation of the safety or effectiveness of AquAdvantage</w:t>
      </w:r>
      <w:r>
        <w:rPr>
          <w:rFonts w:ascii="Arial" w:cs="Arial" w:eastAsia="Arial" w:hAnsi="Arial"/>
          <w:sz w:val="15"/>
          <w:szCs w:val="15"/>
          <w:color w:val="auto"/>
        </w:rPr>
        <w:t>®</w:t>
      </w:r>
      <w:r>
        <w:rPr>
          <w:rFonts w:ascii="Arial" w:cs="Arial" w:eastAsia="Arial" w:hAnsi="Arial"/>
          <w:sz w:val="18"/>
          <w:szCs w:val="18"/>
          <w:color w:val="auto"/>
        </w:rPr>
        <w:t xml:space="preserve"> Salmon. We submitted our latest supplement to the all other information” portion of the NADA on March 13, 2014. The FDA has not yet formally acknowledged its acceptance of this submission.</w:t>
      </w:r>
    </w:p>
    <w:p>
      <w:pPr>
        <w:spacing w:after="0" w:line="20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will submit a formal letter to the FDA requesting approval of the NADA once the FDA has formally acknowledged its acceptance of information responsive to all requirements under the NADA. The FDA has informed us that it will not accept a formal letter requesting approval of our NADA until the FDA formally acknowledges that submissions responsive to the label and package insert requirement and the “all other information” portion of the NADA are acceptable. Further, although the public comment period on the EA and preliminary FONSI expired on April 26, 2013, the FDA has informed us that it will not finalize the FONSI unless and until the FDA Commissioner’s office acts on the final approval of the NADA.</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We believe that we have submitted to the FDA all information necessary for the FDA to approve the NADA and that there are no issues outstanding to which we can or are required to respond. Further, we have not received any indication from the FDA that it will require us to complete other field trials or meet other requirements prior to its approval of the NADA. Despite that, the FDA has not acknowledged its acceptance of all requirements under the NADA and has not provided us with an indication of its timing for providing such an acknowledgement.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Approvals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November 25, 2013, Environment Canada, the department of the Government of Canada with responsibility for regulating environmental policies and issues, concluded that AquAdvantage</w:t>
      </w:r>
      <w:r>
        <w:rPr>
          <w:rFonts w:ascii="Arial" w:cs="Arial" w:eastAsia="Arial" w:hAnsi="Arial"/>
          <w:sz w:val="15"/>
          <w:szCs w:val="15"/>
          <w:color w:val="auto"/>
        </w:rPr>
        <w:t>®</w:t>
      </w:r>
      <w:r>
        <w:rPr>
          <w:rFonts w:ascii="Arial" w:cs="Arial" w:eastAsia="Arial" w:hAnsi="Arial"/>
          <w:sz w:val="18"/>
          <w:szCs w:val="18"/>
          <w:color w:val="auto"/>
        </w:rPr>
        <w:t xml:space="preserve"> Salmon is not harmful to the environment or human health when produced in contained facilities. This ruling, which is currently subject to a judicial review brought about by certain environmental groups on administrative procedural grounds, recognizes that our Canadian hatchery, which produces sterile, all-female eggs, is no longer solely a research facility but can produce eggs on a commercial scale without harm to the environment or human health.</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February 2012, we filed a Novel Foods application for AquAdvantage</w:t>
      </w:r>
      <w:r>
        <w:rPr>
          <w:rFonts w:ascii="Arial" w:cs="Arial" w:eastAsia="Arial" w:hAnsi="Arial"/>
          <w:sz w:val="15"/>
          <w:szCs w:val="15"/>
          <w:color w:val="auto"/>
        </w:rPr>
        <w:t>®</w:t>
      </w:r>
      <w:r>
        <w:rPr>
          <w:rFonts w:ascii="Arial" w:cs="Arial" w:eastAsia="Arial" w:hAnsi="Arial"/>
          <w:sz w:val="18"/>
          <w:szCs w:val="18"/>
          <w:color w:val="auto"/>
        </w:rPr>
        <w:t xml:space="preserve"> Salmon with Health Canada, the department of the Government of Canada with responsibility for regulating products for human consumption. In conjunction with this application, we filed to register AquAdvantage</w:t>
      </w:r>
      <w:r>
        <w:rPr>
          <w:rFonts w:ascii="Arial" w:cs="Arial" w:eastAsia="Arial" w:hAnsi="Arial"/>
          <w:sz w:val="15"/>
          <w:szCs w:val="15"/>
          <w:color w:val="auto"/>
        </w:rPr>
        <w:t>®</w:t>
      </w:r>
      <w:r>
        <w:rPr>
          <w:rFonts w:ascii="Arial" w:cs="Arial" w:eastAsia="Arial" w:hAnsi="Arial"/>
          <w:sz w:val="18"/>
          <w:szCs w:val="18"/>
          <w:color w:val="auto"/>
        </w:rPr>
        <w:t xml:space="preserve"> Salmon as a Novel Feed with the Canadian Food Inspection Agency, a prerequisite for a Novel Food approval. To date, Health Canada and the Canadian Food Inspection Agency have been reviewing our data submission on the safety of AquAdvantage</w:t>
      </w:r>
      <w:r>
        <w:rPr>
          <w:rFonts w:ascii="Arial" w:cs="Arial" w:eastAsia="Arial" w:hAnsi="Arial"/>
          <w:sz w:val="15"/>
          <w:szCs w:val="15"/>
          <w:color w:val="auto"/>
        </w:rPr>
        <w:t>®</w:t>
      </w:r>
      <w:r>
        <w:rPr>
          <w:rFonts w:ascii="Arial" w:cs="Arial" w:eastAsia="Arial" w:hAnsi="Arial"/>
          <w:sz w:val="18"/>
          <w:szCs w:val="18"/>
          <w:color w:val="auto"/>
        </w:rPr>
        <w:t xml:space="preserve"> Salmon as a food and feed, respectively. While we continue to seek Health Canada’s approval for the sale of AquAdvantage</w:t>
      </w:r>
      <w:r>
        <w:rPr>
          <w:rFonts w:ascii="Arial" w:cs="Arial" w:eastAsia="Arial" w:hAnsi="Arial"/>
          <w:sz w:val="15"/>
          <w:szCs w:val="15"/>
          <w:color w:val="auto"/>
        </w:rPr>
        <w:t>®</w:t>
      </w:r>
      <w:r>
        <w:rPr>
          <w:rFonts w:ascii="Arial" w:cs="Arial" w:eastAsia="Arial" w:hAnsi="Arial"/>
          <w:sz w:val="18"/>
          <w:szCs w:val="18"/>
          <w:color w:val="auto"/>
        </w:rPr>
        <w:t xml:space="preserve"> Salmon in Canada for human consumption, there can be no assurance as to when and if this approval will be obtained.</w:t>
      </w:r>
    </w:p>
    <w:p>
      <w:pPr>
        <w:spacing w:after="0" w:line="20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currently have all regulatory approvals necessary to operate our demonstration farm in Panama, and we are in compliance in all material respects with all permits necessary to operate that facility. While we do not have current plans to commercially produce or export AquAdvantage</w:t>
      </w:r>
      <w:r>
        <w:rPr>
          <w:rFonts w:ascii="Arial" w:cs="Arial" w:eastAsia="Arial" w:hAnsi="Arial"/>
          <w:sz w:val="15"/>
          <w:szCs w:val="15"/>
          <w:color w:val="auto"/>
        </w:rPr>
        <w:t>®</w:t>
      </w:r>
      <w:r>
        <w:rPr>
          <w:rFonts w:ascii="Arial" w:cs="Arial" w:eastAsia="Arial" w:hAnsi="Arial"/>
          <w:sz w:val="18"/>
          <w:szCs w:val="18"/>
          <w:color w:val="auto"/>
        </w:rPr>
        <w:t xml:space="preserve"> Salmon eggs at our Panama facility, such commercial production and export would require the approval of Panamanian regulatory authorities. The regulatory process for such approval has not yet been finalized.</w:t>
      </w:r>
    </w:p>
    <w:p>
      <w:pPr>
        <w:spacing w:after="0" w:line="199" w:lineRule="exact"/>
        <w:rPr>
          <w:sz w:val="20"/>
          <w:szCs w:val="20"/>
          <w:color w:val="auto"/>
        </w:rPr>
      </w:pPr>
    </w:p>
    <w:p>
      <w:pPr>
        <w:ind w:right="460"/>
        <w:spacing w:after="0" w:line="249" w:lineRule="auto"/>
        <w:rPr>
          <w:sz w:val="20"/>
          <w:szCs w:val="20"/>
          <w:color w:val="auto"/>
        </w:rPr>
      </w:pPr>
      <w:r>
        <w:rPr>
          <w:rFonts w:ascii="Arial" w:cs="Arial" w:eastAsia="Arial" w:hAnsi="Arial"/>
          <w:sz w:val="18"/>
          <w:szCs w:val="18"/>
          <w:color w:val="auto"/>
        </w:rPr>
        <w:t>We have not requested approval for the production or sale of AquAdvantage</w:t>
      </w:r>
      <w:r>
        <w:rPr>
          <w:rFonts w:ascii="Arial" w:cs="Arial" w:eastAsia="Arial" w:hAnsi="Arial"/>
          <w:sz w:val="15"/>
          <w:szCs w:val="15"/>
          <w:color w:val="auto"/>
        </w:rPr>
        <w:t>®</w:t>
      </w:r>
      <w:r>
        <w:rPr>
          <w:rFonts w:ascii="Arial" w:cs="Arial" w:eastAsia="Arial" w:hAnsi="Arial"/>
          <w:sz w:val="18"/>
          <w:szCs w:val="18"/>
          <w:color w:val="auto"/>
        </w:rPr>
        <w:t xml:space="preserve"> Salmon in any other market. We intend to initiate additional regulatory filings outside the United States if and when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is obtained.</w:t>
      </w:r>
    </w:p>
    <w:p>
      <w:pPr>
        <w:spacing w:after="0" w:line="19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Grow-out of AquAdvantage</w:t>
      </w:r>
      <w:r>
        <w:rPr>
          <w:rFonts w:ascii="Arial" w:cs="Arial" w:eastAsia="Arial" w:hAnsi="Arial"/>
          <w:sz w:val="15"/>
          <w:szCs w:val="15"/>
          <w:color w:val="auto"/>
        </w:rPr>
        <w:t>®</w:t>
      </w:r>
      <w:r>
        <w:rPr>
          <w:rFonts w:ascii="Arial" w:cs="Arial" w:eastAsia="Arial" w:hAnsi="Arial"/>
          <w:sz w:val="18"/>
          <w:szCs w:val="18"/>
          <w:color w:val="auto"/>
        </w:rPr>
        <w:t xml:space="preserve"> Salmon in the United States will require compliance with environmental regulations and local site permitting statutes. In addition, every production site for AquAdvantage</w:t>
      </w:r>
      <w:r>
        <w:rPr>
          <w:rFonts w:ascii="Arial" w:cs="Arial" w:eastAsia="Arial" w:hAnsi="Arial"/>
          <w:sz w:val="15"/>
          <w:szCs w:val="15"/>
          <w:color w:val="auto"/>
        </w:rPr>
        <w:t>®</w:t>
      </w:r>
      <w:r>
        <w:rPr>
          <w:rFonts w:ascii="Arial" w:cs="Arial" w:eastAsia="Arial" w:hAnsi="Arial"/>
          <w:sz w:val="18"/>
          <w:szCs w:val="18"/>
          <w:color w:val="auto"/>
        </w:rPr>
        <w:t xml:space="preserve"> Salmon in the United States will require approval by the FDA of both a Supplemental NADA and a site-specific EA, as well as compliance with local permitting requirements for construction of grow-out facilities. We expect that we will incur costs to comply with these environmental and regulatory requirements, which could take several years to complete for each production site. We are currently unable to estimate these costs but they may be significant.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currently source the unfertilized eggs that we use for internal research and trials of our AquAdvantage</w:t>
      </w:r>
      <w:r>
        <w:rPr>
          <w:rFonts w:ascii="Arial" w:cs="Arial" w:eastAsia="Arial" w:hAnsi="Arial"/>
          <w:sz w:val="15"/>
          <w:szCs w:val="15"/>
          <w:color w:val="auto"/>
        </w:rPr>
        <w:t>®</w:t>
      </w:r>
      <w:r>
        <w:rPr>
          <w:rFonts w:ascii="Arial" w:cs="Arial" w:eastAsia="Arial" w:hAnsi="Arial"/>
          <w:sz w:val="18"/>
          <w:szCs w:val="18"/>
          <w:color w:val="auto"/>
        </w:rPr>
        <w:t xml:space="preserve"> Salmon eggs from a Canadian supplier. If that supplier was unwilling or unable to continue to supply our unfertilized egg requirements during the commercialization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we believe we could find alternative sources of these materials without significant difficulty or material additional expense. In addition, as we move towards the commercialization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we may acquire an unfertilized egg producer or expand our existing facility to produce unfertilized eggs in-house.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AquAdvantage</w:t>
      </w:r>
      <w:r>
        <w:rPr>
          <w:rFonts w:ascii="Arial" w:cs="Arial" w:eastAsia="Arial" w:hAnsi="Arial"/>
          <w:sz w:val="15"/>
          <w:szCs w:val="15"/>
          <w:color w:val="auto"/>
        </w:rPr>
        <w:t>®</w:t>
      </w:r>
      <w:r>
        <w:rPr>
          <w:rFonts w:ascii="Arial" w:cs="Arial" w:eastAsia="Arial" w:hAnsi="Arial"/>
          <w:sz w:val="18"/>
          <w:szCs w:val="18"/>
          <w:color w:val="auto"/>
        </w:rPr>
        <w:t xml:space="preserve"> fish program is based upon a single, specific molecular modification in fish that results in more rapid growth in early development. This enables shorter production cycles and increased efficiency of production. Prior to February 2014, we were a party to a license agreement with Genesis Group, Inc., or Genesis, and an affiliate of the Hospital for Sick Children of Toronto and Memorial University, or HSC, related to our transgenic fish program. Under the terms of this agreement, we were required to make an annual royalty payment of $25 thousand or revenue-based royalty payments equal to five percent of any gross revenues generated from products that utilize the technology covered under the license agreement. No revenue-based royalty payments were made under this agreement. The patent for the licensed technology, which had been issued in every major salmon producing country, expired in August 2013. In February 2014, we entered into a new license agreement with Genesis and HSC that replaced the prior license agreement. Under the new agreement, we hold a global, perpetual, royalty-free, fully paid, sub-licensable, assignable, non-exclusive right to the technology covering genetically modified salmonid fish that express endogenous growth hormone under the control of an anti-freeze protein gene promoter from an edible fish. In consideration for this license, we agreed to pay to Genesis a one-time payment of C $150,000 (US$140,235), which amount was paid on March 6, 2014. Despite the expiration of the patent for the licensed technology, we believe that the degree of know-how in the molecular modification process and the regulatory timescales associated with approval of genetically modified fish would present significant barriers to competition.</w:t>
      </w:r>
    </w:p>
    <w:p>
      <w:pPr>
        <w:spacing w:after="0" w:line="20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currently have a pending U.S. patent application relating to our molecular sterility system that is designed to provide an improved means of sterility for farmed fish by inducing sterility at the maternal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rights to use certain technologies under the ECC with Intrexon, see “Research and Development.”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Atlantic salmon spawn once per year, so there is a natural seasonality of three to five months in the production of Atlantic salmon eggs for commercial use. This natural seasonality can be lengthened through the use of photoperiod techniques to make Atlantic salmon eggs available year round. We are not yet capable of producing AquAdvantage</w:t>
      </w:r>
      <w:r>
        <w:rPr>
          <w:rFonts w:ascii="Arial" w:cs="Arial" w:eastAsia="Arial" w:hAnsi="Arial"/>
          <w:sz w:val="15"/>
          <w:szCs w:val="15"/>
          <w:color w:val="auto"/>
        </w:rPr>
        <w:t>®</w:t>
      </w:r>
      <w:r>
        <w:rPr>
          <w:rFonts w:ascii="Arial" w:cs="Arial" w:eastAsia="Arial" w:hAnsi="Arial"/>
          <w:sz w:val="18"/>
          <w:szCs w:val="18"/>
          <w:color w:val="auto"/>
        </w:rPr>
        <w:t xml:space="preserve"> Salmon eggs on a year-round basis. Currently, we produce AquAdvantage</w:t>
      </w:r>
      <w:r>
        <w:rPr>
          <w:rFonts w:ascii="Arial" w:cs="Arial" w:eastAsia="Arial" w:hAnsi="Arial"/>
          <w:sz w:val="15"/>
          <w:szCs w:val="15"/>
          <w:color w:val="auto"/>
        </w:rPr>
        <w:t>®</w:t>
      </w:r>
      <w:r>
        <w:rPr>
          <w:rFonts w:ascii="Arial" w:cs="Arial" w:eastAsia="Arial" w:hAnsi="Arial"/>
          <w:sz w:val="18"/>
          <w:szCs w:val="18"/>
          <w:color w:val="auto"/>
        </w:rPr>
        <w:t xml:space="preserve"> Salmon eggs during the period of January through April of each year. We expect that once we establish a second egg rearing hatchery and increase our supply of unfertilized eggs, we will be able to produce AquAdvantage</w:t>
      </w:r>
      <w:r>
        <w:rPr>
          <w:rFonts w:ascii="Arial" w:cs="Arial" w:eastAsia="Arial" w:hAnsi="Arial"/>
          <w:sz w:val="15"/>
          <w:szCs w:val="15"/>
          <w:color w:val="auto"/>
        </w:rPr>
        <w:t>®</w:t>
      </w:r>
      <w:r>
        <w:rPr>
          <w:rFonts w:ascii="Arial" w:cs="Arial" w:eastAsia="Arial" w:hAnsi="Arial"/>
          <w:sz w:val="18"/>
          <w:szCs w:val="18"/>
          <w:color w:val="auto"/>
        </w:rPr>
        <w:t xml:space="preserve"> Salmon eggs year-round.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There are four major commercial salmonid breeding companies that market proprietary lines of Atlantic salmon eggs, as well as many small producers of salmonid eggs. Additionally, many of the largest Atlantic salmon producers maintain their own egg production capabilities. We do not believe, however, that we have a direct competitor for genetically modified, growth-enhanced Atlantic salmon eggs. The industry and market for farmed Atlantic salmon is dominated by a group of large, multinational corporations with entrenched distribution channels, as discussed above under “The Aquaculture Industry—Major Producers.”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6"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As of December 31, 2013, we had eight employees dedicated to research and development. Our primary research and development operations are located in our owned hatchery on Prince Edward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Island. In addition, we contract research activities to Tethys Aquaculture Canada, Inc. (doing business as the Center for Aquaculture Technologies Canada), our former research group, which was spun-off and sold to Tethys in 2012. We incurred expenses of $1.9 million in 2013, $1.6 million in 2012 and $2.2 million in 2011 on research and development activities.</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2013, we entered into the ECC with Intrexon pursuant to which we are permitted to use Intrexon’s UltraVector</w:t>
      </w:r>
      <w:r>
        <w:rPr>
          <w:rFonts w:ascii="Arial" w:cs="Arial" w:eastAsia="Arial" w:hAnsi="Arial"/>
          <w:sz w:val="15"/>
          <w:szCs w:val="15"/>
          <w:color w:val="auto"/>
        </w:rPr>
        <w:t>®</w:t>
      </w:r>
      <w:r>
        <w:rPr>
          <w:rFonts w:ascii="Arial" w:cs="Arial" w:eastAsia="Arial" w:hAnsi="Arial"/>
          <w:sz w:val="18"/>
          <w:szCs w:val="18"/>
          <w:color w:val="auto"/>
        </w:rPr>
        <w:t xml:space="preserve"> and other technology platforms to develop and commercialize additional genetically modified traits in finfish for human consumption. The ECC grants us a worldwide license to use specified patents and other intellectual property of Intrexon in connection with the research, development, use, importing, manufacture, sale and offer for sale of products involving DNA administered to finfish for human consumption. This license is exclusive with respect to any clinical development, selling, offering for sale or other commercialization of developed products, and otherwise is non-exclusive. Under the ECC and subject to certain exceptions, we are responsible for, among other things, the performance of the program, including development, commercialization and certain aspects of manufacturing developed products. Among other things, Intrexon is responsible for the costs of establishing manufacturing capabilities and facilities for the bulk manufacture of certain products developed under the program, certain other aspects of manufacturing, costs of discovery-stage research with respect to platform improvements and costs of filing, prosecution and maintenance of Intrexon’s patents. We agreed to pay Intrexon, on a quarterly basis, 16.66% of the gross profits calculated for each developed product. We also agreed to pay Intrexon 50% of the quarterly revenue obtained from a sublicensor in the event of a sublicensing arrangement. In addition, we agreed to reimburse Intrexon for the costs of certain services provided by Intrexon.</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Since its execution in February 2013, we and Intrexon have commenced development on two projects under the ECC, both of which are in their early stages. The first project, which commenced in June 2013, is a research effort to determine the effectiveness of utilizing precise genome engineering technology to produce desirable features in a finfish. The second project, which commenced in September 2013, is a research effort to determine if the use of germ cells to perform gene modification is effective in reducing the time required to develop new traits in finfish. If these technology-enabling projects prove to be successful, they will allow us to add additional beneficial traits to AquAdvantage</w:t>
      </w:r>
      <w:r>
        <w:rPr>
          <w:rFonts w:ascii="Arial" w:cs="Arial" w:eastAsia="Arial" w:hAnsi="Arial"/>
          <w:sz w:val="15"/>
          <w:szCs w:val="15"/>
          <w:color w:val="auto"/>
        </w:rPr>
        <w:t>®</w:t>
      </w:r>
      <w:r>
        <w:rPr>
          <w:rFonts w:ascii="Arial" w:cs="Arial" w:eastAsia="Arial" w:hAnsi="Arial"/>
          <w:sz w:val="18"/>
          <w:szCs w:val="18"/>
          <w:color w:val="auto"/>
        </w:rPr>
        <w:t xml:space="preserve"> Salmon.</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to the projects being undertaken under the ECC, we are exploring the potential development of a range of additional products, including a second generation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to ensure 100% sterility, molecular sterility systems to provide an improved means of sterility for farmed fish, infection control in shrimp and improved methods for generating transgenic fish.</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research and development expenditures are directly tied to the number of projects that we choose to undertake. We expect to increase our development efforts as we commence projects under our ECC with Intrexon. We expect that these projects could result in an increase in our research and development expenditures in the range of 5% to 10% per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As of December 31, 2013, we had 15 employees. None of our employees are represented by a labor union, and we consider our employee relations to be good.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While our corporate headquarters are located in Maynard, Massachusetts and we are domiciled in the United States, our primary physical assets are comprised of our hatchery on Prince Edward Island, Canada. We own the building, all improvements and the equipment used in the facility. In addition, we lease a demonstration farm for AquAdvantage</w:t>
      </w:r>
      <w:r>
        <w:rPr>
          <w:rFonts w:ascii="Arial" w:cs="Arial" w:eastAsia="Arial" w:hAnsi="Arial"/>
          <w:sz w:val="15"/>
          <w:szCs w:val="15"/>
          <w:color w:val="auto"/>
        </w:rPr>
        <w:t>®</w:t>
      </w:r>
      <w:r>
        <w:rPr>
          <w:rFonts w:ascii="Arial" w:cs="Arial" w:eastAsia="Arial" w:hAnsi="Arial"/>
          <w:sz w:val="18"/>
          <w:szCs w:val="18"/>
          <w:color w:val="auto"/>
        </w:rPr>
        <w:t xml:space="preserve"> Salmon in Panama.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March 20, 2014, we completed a private offering of 19,040,366 shares of our common stock to Intrexon, our majority shareholder. The shares were sold pursuant to an exemption from the registration requirements of the Securities Act. The total net proceeds, after giving effect to expenses associated with the offering, was approximately $9.7 million. We believe that the net proceeds raised in the offering will permit us to fund our working capital needs for at least the next 12 months. We also believe that such proceeds will allow us to begin accelerated commercialization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following receipt of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We believe it will take two years following receipt of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to establish commercial operations and an additional two years before we can generate significant revenues and, accordingly, we anticipate that we will need to raise further funds prior to that time. We also intend to apply a portion of the net proceeds of the offering towards the development of new products through the ECC with Intrexon.</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connection with the private offering, we sought and obtained the approval of our shareholders of (1) the offering and waiver of certain pre-emptive rights under the existing Amended and Restated Certificate of Incorporation of AquaBounty Technologies, Inc., or the Existing Certificate of Incorporation, and (2) the amendment and restatement of the Existing Certificate of Incorporation as contemplated by the Second Amended and Restated Certificate of Incorporation of AquaBounty Technologies, Inc., or the Restated Certificate of Incorporation, to effect a 1-for-10 reverse stock split and certain changes to the corporate governance procedures and voting thresholds set forth therein. The Restated Certificate of Incorporation, including the reverse stock split contemplated thereby, would become effective immediately following the effective time of this Registration Statement on Form 10.</w:t>
      </w:r>
    </w:p>
    <w:p>
      <w:pPr>
        <w:spacing w:after="0" w:line="20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believe that the net proceeds of the offering together with the reverse stock split will allow us to satisfy certain balance sheet tests and bid price requirements under the NASDAQ initial listing standards.</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together with the other information contained in this Registration Statement on Form 10, including our consolidated financial statements and the related notes appearing at the end of this Registration Statement on Form 10, before making your decision to invest in shares of our common stock.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spacing w:after="0" w:line="18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i w:val="1"/>
          <w:iCs w:val="1"/>
          <w:color w:val="auto"/>
        </w:rPr>
        <w:t>This Registration Statement on Form 10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Registration Statement on Form 10. See “Cautionary Note Regarding Forward-Looking Statements” for information relating to these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We have a history of net losses and will likely incur future losses, at least during the next four years, and we may not achieve or maintain profitability.</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Although we were established in 1991, we did not start to develop our current product portfolio until 1996. In the period since incorporation to December 31, 2013, we have incurred net losses of approximately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$77 million. These losses reflect our personnel, research and development and marketing costs. We believe it will take two years following receipt of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to establish commercial operations and an additional two years before we can generate significant revenues. Ultimately, our prospects depend on receipt of that approval as well as consumer acceptance of genetically modified fish. There can be no guarantee that we will achieve profitability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substantial additional capital in the future in order to fund our business.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do not expect significant sales until 2018, at the earliest. Therefore, based on our current business plan, we anticipate a need to raise further funds prior to that time. Any issuance of shares of our capital stock could have an effect on the potential realizable value of an investment in our common stock. In the absence of a proportionate increase in our earnings and book value, an increase in the aggregate number of outstanding shares of our capital stock caused by the issuance of any additional shares of our capital stock could dilute the earnings per share and book value per share of outstanding shares of our common stock. If such factors were reflected in the price per share of our common stock, the potential realizable value of our shareholders’ investments could be adversely affected.</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amount and timing of the expenditures needed to achieve our development and commercialization programs will depend on numerous factors, some of which are outside our control. Changes could result in the need for additional funds. The primary factor impacting the amount and timing of any additional expenditures is the timing of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Until approval is received, we will have no sources of revenue and thus will require funds to cover operational losses, which have recently averaged between $4 million and $5 million per year.</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Following receipt of FDA approval, we plan to apply for regulatory approval of a second hatchery that would likely be located in the United States. We also plan to increase our supply of unfertilized Atlantic salmon eggs through either the expansion of our Canadian hatchery or through the purchase of an existing egg producer. In addition, we may decide to vertically integrate and commence production grow-out of our AquAdvantage</w:t>
      </w:r>
      <w:r>
        <w:rPr>
          <w:rFonts w:ascii="Arial" w:cs="Arial" w:eastAsia="Arial" w:hAnsi="Arial"/>
          <w:sz w:val="15"/>
          <w:szCs w:val="15"/>
          <w:color w:val="auto"/>
        </w:rPr>
        <w:t>®</w:t>
      </w:r>
      <w:r>
        <w:rPr>
          <w:rFonts w:ascii="Arial" w:cs="Arial" w:eastAsia="Arial" w:hAnsi="Arial"/>
          <w:sz w:val="18"/>
          <w:szCs w:val="18"/>
          <w:color w:val="auto"/>
        </w:rPr>
        <w:t xml:space="preserve"> Salmon eggs to harvest size, rather than selling the eggs to salmon farmers. If this path is chosen, we would need to invest in the construction of land-based recirculating aquaculture system facilities. These facilities have estimated construction costs of $10 million to $20 million each, based on desired output and the level of sophistication of the internal systems. A capital investment of $100 million would be expected over the course of two to five years to fund this business model.</w:t>
      </w:r>
    </w:p>
    <w:p>
      <w:pPr>
        <w:spacing w:after="0" w:line="20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There can be no assurance that additional funds will be available on a timely basis, on favorable terms, or at all, or that such funds, if raised, would be sufficient to enable us to continue to implement our business strategy.</w:t>
      </w:r>
    </w:p>
    <w:p>
      <w:pPr>
        <w:spacing w:after="0" w:line="1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Our ability to generate revenue to support our operations depends on obtaining regulatory approvals for AquAdvantage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Salmon, and receipt of those approvals is uncertain.</w:t>
      </w:r>
    </w:p>
    <w:p>
      <w:pPr>
        <w:spacing w:after="0" w:line="17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a genetically modified animal for human consumption, AquAdvantage</w:t>
      </w:r>
      <w:r>
        <w:rPr>
          <w:rFonts w:ascii="Arial" w:cs="Arial" w:eastAsia="Arial" w:hAnsi="Arial"/>
          <w:sz w:val="15"/>
          <w:szCs w:val="15"/>
          <w:color w:val="auto"/>
        </w:rPr>
        <w:t>®</w:t>
      </w:r>
      <w:r>
        <w:rPr>
          <w:rFonts w:ascii="Arial" w:cs="Arial" w:eastAsia="Arial" w:hAnsi="Arial"/>
          <w:sz w:val="18"/>
          <w:szCs w:val="18"/>
          <w:color w:val="auto"/>
        </w:rPr>
        <w:t xml:space="preserve"> Salmon will require approval from the FDA in the United States and regulatory bodies in other countries before it can be sold and/or produced. There is no guarantee that we will receive or be able to maintain regulatory approvals from the FDA or other regulatory bodies or that there will not be a significant delay before approval. There is also no guarantee that any approvals granted will not be subject to unduly onerous obligations in relation to matters such as production or labeling, or that any regulator will not require additional data prior to approval, which may be costly and time consuming to acquire. In particular, the FDA has not provided us with an indication of the process or associated timing for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We do not expect to engage in commercial development of AquAdvantage</w:t>
      </w:r>
      <w:r>
        <w:rPr>
          <w:rFonts w:ascii="Arial" w:cs="Arial" w:eastAsia="Arial" w:hAnsi="Arial"/>
          <w:sz w:val="15"/>
          <w:szCs w:val="15"/>
          <w:color w:val="auto"/>
        </w:rPr>
        <w:t>®</w:t>
      </w:r>
      <w:r>
        <w:rPr>
          <w:rFonts w:ascii="Arial" w:cs="Arial" w:eastAsia="Arial" w:hAnsi="Arial"/>
          <w:sz w:val="18"/>
          <w:szCs w:val="18"/>
          <w:color w:val="auto"/>
        </w:rPr>
        <w:t xml:space="preserve"> Salmon, or to generate revenue, unless and until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is received.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has not yet approved any genetically modified animal for sale as a food item.</w:t>
      </w:r>
    </w:p>
    <w:p>
      <w:pPr>
        <w:spacing w:after="0" w:line="23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The FDA has not yet approved any genetically modified animal for sale as a food item in the United States. If AquAdvantage</w:t>
      </w:r>
      <w:r>
        <w:rPr>
          <w:rFonts w:ascii="Arial" w:cs="Arial" w:eastAsia="Arial" w:hAnsi="Arial"/>
          <w:sz w:val="15"/>
          <w:szCs w:val="15"/>
          <w:color w:val="auto"/>
        </w:rPr>
        <w:t>®</w:t>
      </w:r>
      <w:r>
        <w:rPr>
          <w:rFonts w:ascii="Arial" w:cs="Arial" w:eastAsia="Arial" w:hAnsi="Arial"/>
          <w:sz w:val="18"/>
          <w:szCs w:val="18"/>
          <w:color w:val="auto"/>
        </w:rPr>
        <w:t xml:space="preserve"> Salmon is approved, it will be the first approval of a NADA for the sale of a genetically modified animal as food anywhere in the world. There can be no assurance that our product will receive FDA approval.</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Ethical, legal and social concerns about genetically modified organisms could limit or prevent the use of our products and limit our revenues.</w:t>
      </w:r>
    </w:p>
    <w:p>
      <w:pPr>
        <w:spacing w:after="0" w:line="1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technologies involve the use of genetically modified organisms. Public perception about the safety and environmental hazards of, and ethical concerns over, genetically engineered products could influence public acceptance of our technologies and products. Activist groups opposing genetic modifications of organisms have recently pressured a number of retail food outlets and grocery chains to publicly state that they will not carry genetically modified Atlantic salmon. If we are not able to overcome the ethical, legal and social concerns relating to genetic engineering, products using our technologies may not be accepted in the marketplace and demand for our products could fall short of what we expect. These concerns could also result in increased expenses, regulatory scrutiny, delays or other impediments to implementation of our business plan.</w:t>
      </w:r>
    </w:p>
    <w:p>
      <w:pPr>
        <w:spacing w:after="0" w:line="20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subject of genetically modified organisms has received negative publicity, which has aroused public debate. This adverse publicity could lead to greater regulation and trade restrictions on imports of genetically altered products. Further, there is a concern that products produced using our technologies could be perceived to cause adverse events, which could also lead to negative publicity.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success in gaining consumer acceptance of our products.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is an active and vocal group of opponents to genetically modified organisms who wish to ban or restrict the technology and who, at a minimum, hope to sway consumer perceptions and acceptance of this technology. Their efforts include regulatory legal challenges and labeling campaigns for genetically modified products, as well as application of pressure to consumer retail outlets seeking a commitment not to carry genetically modified Atlantic salmon. We may not be able to overcome the negative consumer perceptions that these organizations have instilled against our products.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We may have to label our AquAdvantage</w:t>
      </w:r>
      <w:r>
        <w:rPr>
          <w:rFonts w:ascii="Arial" w:cs="Arial" w:eastAsia="Arial" w:hAnsi="Arial"/>
          <w:sz w:val="15"/>
          <w:szCs w:val="15"/>
          <w:color w:val="auto"/>
        </w:rPr>
        <w:t>®</w:t>
      </w:r>
      <w:r>
        <w:rPr>
          <w:rFonts w:ascii="Arial" w:cs="Arial" w:eastAsia="Arial" w:hAnsi="Arial"/>
          <w:sz w:val="18"/>
          <w:szCs w:val="18"/>
          <w:b w:val="1"/>
          <w:bCs w:val="1"/>
          <w:color w:val="auto"/>
        </w:rPr>
        <w:t xml:space="preserve"> Salmon at the retail level as containing genetically modified ingredients, which could negatively impact consumer acceptance.</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current labeling laws, our AquAdvantage</w:t>
      </w:r>
      <w:r>
        <w:rPr>
          <w:rFonts w:ascii="Arial" w:cs="Arial" w:eastAsia="Arial" w:hAnsi="Arial"/>
          <w:sz w:val="15"/>
          <w:szCs w:val="15"/>
          <w:color w:val="auto"/>
        </w:rPr>
        <w:t>®</w:t>
      </w:r>
      <w:r>
        <w:rPr>
          <w:rFonts w:ascii="Arial" w:cs="Arial" w:eastAsia="Arial" w:hAnsi="Arial"/>
          <w:sz w:val="18"/>
          <w:szCs w:val="18"/>
          <w:color w:val="auto"/>
        </w:rPr>
        <w:t xml:space="preserve"> Salmon does not need to be labeled as containing genetically modified ingredients, because our product has been deemed to be “substantially equivalent” to the traditional product. However, several states have either passed laws or are considering new laws that would require the labeling of any product sold at the retail level that contains genetically modified ingredients. In addition, the FDA may determine that products containing genetically modified ingredients should be labeled as such even if equivalent to the traditional product. Labelling requirements could cause consumers to view the label as either a warning or as an indication that AquAdvantage</w:t>
      </w:r>
      <w:r>
        <w:rPr>
          <w:rFonts w:ascii="Arial" w:cs="Arial" w:eastAsia="Arial" w:hAnsi="Arial"/>
          <w:sz w:val="15"/>
          <w:szCs w:val="15"/>
          <w:color w:val="auto"/>
        </w:rPr>
        <w:t>®</w:t>
      </w:r>
      <w:r>
        <w:rPr>
          <w:rFonts w:ascii="Arial" w:cs="Arial" w:eastAsia="Arial" w:hAnsi="Arial"/>
          <w:sz w:val="18"/>
          <w:szCs w:val="18"/>
          <w:color w:val="auto"/>
        </w:rPr>
        <w:t xml:space="preserve"> Salmon is inferior to traditional Atlantic salmon, which could negatively impact consumer acceptance of our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intend to sell our products are subject to significant regulations.</w:t>
      </w:r>
    </w:p>
    <w:p>
      <w:pPr>
        <w:spacing w:after="0" w:line="23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to the requirement for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to sell in the United States, we will also be subject to state and local regulations and permitting requirements, which could impact or delay the commercialization and commencement of revenue generation from the sale of AquAdvantage</w:t>
      </w:r>
      <w:r>
        <w:rPr>
          <w:rFonts w:ascii="Arial" w:cs="Arial" w:eastAsia="Arial" w:hAnsi="Arial"/>
          <w:sz w:val="15"/>
          <w:szCs w:val="15"/>
          <w:color w:val="auto"/>
        </w:rPr>
        <w:t>®</w:t>
      </w:r>
      <w:r>
        <w:rPr>
          <w:rFonts w:ascii="Arial" w:cs="Arial" w:eastAsia="Arial" w:hAnsi="Arial"/>
          <w:sz w:val="18"/>
          <w:szCs w:val="18"/>
          <w:color w:val="auto"/>
        </w:rPr>
        <w:t xml:space="preserve"> Salmon. International sales are also subject to rules and regulations promulgated by regulatory bodies within foreign jurisdictions. There can be no assurance that foreign, state or local regulatory bodies will approve the sale of our product in their jurisdiction.</w:t>
      </w:r>
    </w:p>
    <w:p>
      <w:pPr>
        <w:spacing w:after="0" w:line="18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We may incur significant costs complying with environmental, health and safety laws and regulations, and failure to comply with these laws and regulations could expose us to significant liabilities.</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operations are subject to a variety of federal, state, local and international laws and regulations governing, among other matters, the use, generation, manufacture, transportation, storage, handling, disposal of and human exposure to our products in both the United States and overseas, including regulation by governmental regulatory agencies, such as the FDA and the U.S. Environmental Protection Agency. We have incurred, and will continue to incur, capital and operating expenditures and other costs in the ordinary course of our business in complying with these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become subject to increasing regulation in the future.</w:t>
      </w:r>
    </w:p>
    <w:p>
      <w:pPr>
        <w:spacing w:after="0" w:line="23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Regulations pertaining to genetically modified animals are still developing and could change from their present state. We could be subject to increasing or more onerous regulatory hurdles as we attempt to commercialize our product, which could require us to incur significant additional capital and operating expenditures and other costs in complying with these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AquAdvantage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Salmon broodstock could result in the loss of our commercial technology.</w:t>
      </w:r>
    </w:p>
    <w:p>
      <w:pPr>
        <w:spacing w:after="0" w:line="2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Our intellectual property for AquAdvantage</w:t>
      </w:r>
      <w:r>
        <w:rPr>
          <w:rFonts w:ascii="Arial" w:cs="Arial" w:eastAsia="Arial" w:hAnsi="Arial"/>
          <w:sz w:val="15"/>
          <w:szCs w:val="15"/>
          <w:color w:val="auto"/>
        </w:rPr>
        <w:t>®</w:t>
      </w:r>
      <w:r>
        <w:rPr>
          <w:rFonts w:ascii="Arial" w:cs="Arial" w:eastAsia="Arial" w:hAnsi="Arial"/>
          <w:sz w:val="18"/>
          <w:szCs w:val="18"/>
          <w:color w:val="auto"/>
        </w:rPr>
        <w:t xml:space="preserve"> Salmon resides in the breeding population of live fish, or broodstock, themselves. Destruction of AquAdvantage</w:t>
      </w:r>
      <w:r>
        <w:rPr>
          <w:rFonts w:ascii="Arial" w:cs="Arial" w:eastAsia="Arial" w:hAnsi="Arial"/>
          <w:sz w:val="15"/>
          <w:szCs w:val="15"/>
          <w:color w:val="auto"/>
        </w:rPr>
        <w:t>®</w:t>
      </w:r>
      <w:r>
        <w:rPr>
          <w:rFonts w:ascii="Arial" w:cs="Arial" w:eastAsia="Arial" w:hAnsi="Arial"/>
          <w:sz w:val="18"/>
          <w:szCs w:val="18"/>
          <w:color w:val="auto"/>
        </w:rPr>
        <w:t xml:space="preserve"> Salmon broodstocks by whatever means would result in the loss of the commercial technology. Live animals are subject to disease that may, in some cases, prevent or cause delay in the export of fish or eggs to customers. Disease organisms may be present undetected and transferred inadvertently. Such events may cause loss of revenue, increased costs, or both.</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Atlantic salmon farming is subject to disease outbreaks which can increase the cost of production and/or reduce production harvests.</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Salmon farming systems, particularly conventional, open sea-cage systems, are vulnerable to disease introduction and transmission, primarily from the marine environment or adjacent culture systems. The economic impact of disease to these production systems can be significant, as farmers must incur the cost of preventative measures, such as vaccines and antibiotics, and then if infected, the cost of lost or reduced harvests. Although we will produce and grow our AquAdvantage</w:t>
      </w:r>
      <w:r>
        <w:rPr>
          <w:rFonts w:ascii="Arial" w:cs="Arial" w:eastAsia="Arial" w:hAnsi="Arial"/>
          <w:sz w:val="15"/>
          <w:szCs w:val="15"/>
          <w:color w:val="auto"/>
        </w:rPr>
        <w:t>®</w:t>
      </w:r>
      <w:r>
        <w:rPr>
          <w:rFonts w:ascii="Arial" w:cs="Arial" w:eastAsia="Arial" w:hAnsi="Arial"/>
          <w:sz w:val="18"/>
          <w:szCs w:val="18"/>
          <w:color w:val="auto"/>
        </w:rPr>
        <w:t xml:space="preserve"> Salmon in land-based, closed containment facilities, we will still be at risk for potential disease outbreaks. We have implemented biosecurity measures in our facilities to prevent or mitigate disease impact, but there can be no assurance that any measures will be 100% effective.</w:t>
      </w:r>
    </w:p>
    <w:p>
      <w:pPr>
        <w:spacing w:after="0" w:line="183"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We may be sued by non-governmental organizations and others who are opposed to the development or commercialization of genetically modified organisms.</w:t>
      </w:r>
    </w:p>
    <w:p>
      <w:pPr>
        <w:spacing w:after="0" w:line="1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There are many organizations in the United States and elsewhere that are fundamentally opposed to the development of genetically modified organisms. These groups have a history of bringing legal action against companies attempting to bring new biotechnology products to market. On January 16, 2014, an application was filed by two non-governmental organizations with the Canadian Federal Court seeking judicial review to declare invalid the decision by the Canadian Minister of the Environment to publish in the Canadian Gazette a Significant New Activity Notice, or SNAN, with respect to AquAdvantage</w:t>
      </w:r>
      <w:r>
        <w:rPr>
          <w:rFonts w:ascii="Arial" w:cs="Arial" w:eastAsia="Arial" w:hAnsi="Arial"/>
          <w:sz w:val="15"/>
          <w:szCs w:val="15"/>
          <w:color w:val="auto"/>
        </w:rPr>
        <w:t>®</w:t>
      </w:r>
      <w:r>
        <w:rPr>
          <w:rFonts w:ascii="Arial" w:cs="Arial" w:eastAsia="Arial" w:hAnsi="Arial"/>
          <w:sz w:val="18"/>
          <w:szCs w:val="18"/>
          <w:color w:val="auto"/>
        </w:rPr>
        <w:t xml:space="preserve"> Salmon. We may be subject to future additional litigation brought by one or more of these organizations in their attempt to block the development or sale of our product. In addition, animal rights groups and various other organizations and individuals have attempted to stop genetic engineering activities by pressing for legislation and additional regulation in these areas. To the extent the actions of these organizations are successful, our business may be adversely affected. Such actions, even if unsuccessful, may distract management from its operations priorities and may cause us to incur significant costs.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Our ability to compete may be negatively impacted if we do not adequately protect our proprietary technologies or if we lose some of our intellectual property rights.</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success depends in part on our ability to obtain patents and maintain adequate protection of our intellectual property in the United States and abroad for our technologies and resultant products and potential products. We have adopted a strategy of seeking patent protection in the United States and abroad with respect to certain of the technologies used in or relating to our products; however, the patent to the technology covering AquAdvantage</w:t>
      </w:r>
      <w:r>
        <w:rPr>
          <w:rFonts w:ascii="Arial" w:cs="Arial" w:eastAsia="Arial" w:hAnsi="Arial"/>
          <w:sz w:val="15"/>
          <w:szCs w:val="15"/>
          <w:color w:val="auto"/>
        </w:rPr>
        <w:t>®</w:t>
      </w:r>
      <w:r>
        <w:rPr>
          <w:rFonts w:ascii="Arial" w:cs="Arial" w:eastAsia="Arial" w:hAnsi="Arial"/>
          <w:sz w:val="18"/>
          <w:szCs w:val="18"/>
          <w:color w:val="auto"/>
        </w:rPr>
        <w:t xml:space="preserve"> Salmon, which we license under a global, perpetual, royalty-free, non-exclusive license from Genesis and HSC, expired in August 2013. We expect to protect our proprietary technology in regards to AquAdvantage</w:t>
      </w:r>
      <w:r>
        <w:rPr>
          <w:rFonts w:ascii="Arial" w:cs="Arial" w:eastAsia="Arial" w:hAnsi="Arial"/>
          <w:sz w:val="15"/>
          <w:szCs w:val="15"/>
          <w:color w:val="auto"/>
        </w:rPr>
        <w:t>®</w:t>
      </w:r>
      <w:r>
        <w:rPr>
          <w:rFonts w:ascii="Arial" w:cs="Arial" w:eastAsia="Arial" w:hAnsi="Arial"/>
          <w:sz w:val="18"/>
          <w:szCs w:val="18"/>
          <w:color w:val="auto"/>
        </w:rPr>
        <w:t xml:space="preserve"> Salmon through a combination of in-house know-how and the regulatory process that would need to be completed for a competing product to be commercialized, which we believe would be cost-prohibitive to our competitors. There can be no guaranty that this strategy will be successful.</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also rely on trade secrets to protect our technologies, particularly in cases when we believe patent protection is not appropriate or obtainable. However, trade secrets are difficult to protect, and we may not be able to adequately protect our trade secrets or other proprietary or licensed information. While we require our employees, academic collaborators, consultants and other contractors to enter into confidentiality agreements with us, if we cannot maintain the confidentiality of our proprietary and licensed technologies and other confidential information, our ability and that of our licensor to receive patent protection and our ability to protect valuable information owned or licensed by us may be imperiled.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Enforcing our intellectual property rights may be difficult and unpredictable.</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Enforcing our intellectual property rights can be expensive and time consuming, and the outcome of such efforts can be unpredictable. If we were to initiate legal proceedings against a third party to enforce a patent covering one of our technologies, the defendant could counterclaim that our patent is invalid and/or unenforceable or assert that the patent does not cover its manufacturing processes, manufacturing components or products. Furthermore, in patent litigation in the United States, defendant counterclaims alleging both invalidity and unenforceability are commonplace. Although we may believe that we have conducted our patent prosecution in accordance with the duty of candor and in good faith, the outcome following legal assertions of invalidity and unenforceability during patent litigation is unpredictable. With respect to the validity of our patent rights, we cannot be certain, for example, that there is no invalidating prior art, of which we and the patent examiner were unaware during prosecution. If a defendant were to prevail on a legal assertion of invalidity and/or unenforceability, we would not be able to exclude others from practicing the inventions claimed therein. Such a loss of patent protection could have a material adverse impact on our business. Even if our patent rights are found to be valid and enforceable, patent claims that survive litigation may not cover commercially valuable products or prevent competitors from importing or marketing products similar to our own, or using manufacturing processes or manufacturing components similar to those used to produce the products using our technologies.</w:t>
      </w:r>
    </w:p>
    <w:p>
      <w:pPr>
        <w:spacing w:after="0" w:line="20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Although we believe we have obtained assignments of patent rights from all inventors, if an inventor did not adequately assign their patent rights to us, a third party could obtain a license to the patent from such inventor. This could preclude us from enforcing the patent against such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throughout the world.</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certain countries, particularly certain developing countries, often do not favor the enforcement of patents and other intellectual property protection, particularly those relating to genetic engineering. This could make it difficult for us to stop the infringement of our patents or misappropriation of our other intellectual property rights. Proceedings to enforce our patent rights in foreign jurisdictions could result in substantial costs and divert our efforts and attention from other aspects of our business. Accordingly, our efforts to protect our intellectual property rights in such countries may be inadequate.</w:t>
      </w:r>
    </w:p>
    <w:p>
      <w:pPr>
        <w:spacing w:after="0" w:line="18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Competitors and potential competitors may develop products and technologies that make ours obsolete or garner greater market share than ours.</w:t>
      </w:r>
    </w:p>
    <w:p>
      <w:pPr>
        <w:spacing w:after="0" w:line="17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do not believe that we have a direct competitor for genetically modified, growth-enhanced Atlantic salmon eggs. However, the market for Atlantic salmon is dominated by a group of large, multinational corporations with entrenched distribution channels. Our ability to compete successfully will depend on our ability to demonstrate that AquAdvantage</w:t>
      </w:r>
      <w:r>
        <w:rPr>
          <w:rFonts w:ascii="Arial" w:cs="Arial" w:eastAsia="Arial" w:hAnsi="Arial"/>
          <w:sz w:val="15"/>
          <w:szCs w:val="15"/>
          <w:color w:val="auto"/>
        </w:rPr>
        <w:t>®</w:t>
      </w:r>
      <w:r>
        <w:rPr>
          <w:rFonts w:ascii="Arial" w:cs="Arial" w:eastAsia="Arial" w:hAnsi="Arial"/>
          <w:sz w:val="18"/>
          <w:szCs w:val="18"/>
          <w:color w:val="auto"/>
        </w:rPr>
        <w:t xml:space="preserve"> Salmon is superior to and/or less expensive than other products available in the market. Certain of our competitors may benefit from government support and other incentives that are not available to us. As a result, our competitors may be able to develop competing and/or superior products and compete more aggressively and sustain that competition over a longer period of time than we can. As more companies develop new intellectual property in our markets, a competitor could acquire patent or other rights that may limit our ability to successfully market our product.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If our technologies or products are stolen, misappropriated or reverse engineered, others could use the technologies to produce competing technologies or products.</w:t>
      </w:r>
    </w:p>
    <w:p>
      <w:pPr>
        <w:spacing w:after="0" w:line="17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Third parties, including our collaborators, contractors and others involved in our business often have access to our technologies. If our technologies or products were stolen, misappropriated or reverse engineered, they could be used by other parties that may be able to reproduce our technologies or products using our technologies for their own commercial gain. If this were to occur, it would be difficult for us to challenge this type of use, especially in countries with limited intellectual property protection.</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If we lose key personnel, including key management personnel, or are unable to attract and retain additional personnel, it could delay our commercialization plans or harm our research and development efforts, and we may be unable to sell or develop our own products.</w:t>
      </w:r>
    </w:p>
    <w:p>
      <w:pPr>
        <w:spacing w:after="0" w:line="19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success depends substantially on the efforts and abilities or our officers and other key employees. The loss of any key members of our management, or the failure to attract or retain other key employees who possess the requisite expertise for the conduct of our business, could prevent us from developing and commercializing our products and executing on our business strategy. We may not be able to attract or retain qualified employees in the future due to the intense competition for qualified personnel among biotechnology and other technology-based businesses, or due to the unavailability of personnel with the particular qualifications or experience necessary for our business. If we are not able to attract and retain the necessary personnel to accomplish our business objectives, we may experience staffing constraints that could adversely affect our ability to meet the demands of our customers in a timely fashion or to support our internal research and development programs. In particular, our product development programs are dependent on our ability to attract and retain highly skilled scientists. Competition for experienced scientists and other technical personnel from numerous companies and academic and other research institutions may limit our ability to attract and retain such personnel on acceptable terms.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difficulties managing our growth, which could adversely affect our business.</w:t>
      </w: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could face a period of rapid growth following regulatory approval of AquAdvantage</w:t>
      </w:r>
      <w:r>
        <w:rPr>
          <w:rFonts w:ascii="Arial" w:cs="Arial" w:eastAsia="Arial" w:hAnsi="Arial"/>
          <w:sz w:val="15"/>
          <w:szCs w:val="15"/>
          <w:color w:val="auto"/>
        </w:rPr>
        <w:t>®</w:t>
      </w:r>
      <w:r>
        <w:rPr>
          <w:rFonts w:ascii="Arial" w:cs="Arial" w:eastAsia="Arial" w:hAnsi="Arial"/>
          <w:sz w:val="18"/>
          <w:szCs w:val="18"/>
          <w:color w:val="auto"/>
        </w:rPr>
        <w:t xml:space="preserve"> Salmon, which may place significant pressure on our management, sales, operational and financial resources. The execution of our business plan and our future success will depend, in part, on our ability to manage current and planned expansion and on our ability to continue to implement and improve our operational management. Any failure to manage the planned growth may have a substantial adverse effect on our business, financial condition, trading performance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pursue strategic acquisitions and investments that could have an adverse impact on our business if they are unsuccessful.</w:t>
      </w:r>
    </w:p>
    <w:p>
      <w:pPr>
        <w:spacing w:after="0" w:line="23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If appropriate opportunities become available, we may acquire businesses, assets, technologies or products to enhance our business in the future. In connection with any future acquisitions, we could:</w:t>
      </w:r>
    </w:p>
    <w:p>
      <w:pPr>
        <w:spacing w:after="0" w:line="10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additional equity securities, which would dilute our current shareholders;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substantial debt to fund the acquisitions; or</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 significant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numerous risks, including:</w:t>
      </w:r>
    </w:p>
    <w:p>
      <w:pPr>
        <w:spacing w:after="0" w:line="11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integrating the purchased operations, technologies or products;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costs and other liabilities;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current and/or prospective customers and/or suppliers;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no or limited prior experience;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do not have extensive experience in managing the integration process, and we may not be able to successfully integrate any businesses, assets, products, technologies or personnel that we might acquire in the future without a significant expenditure of operating, financial and management resources. The integration process could divert management time from focusing on operating our business, result in a decline in employee morale or cause retention issues to arise from changes in compensation, reporting relationships, future prospects or the direction of the business. Acquisitions also may require us to record goodwill and non-amortizable intangible assets that will be subject to impairment testing on a regular basis and potential periodic impairment charges, incur amortization expenses related to certain intangible assets and incur large and immediate write-offs and restructuring and other related expenses, all of which could harm our operating results and financial condition. In addition, we may acquire companies that have insufficient internal financial controls, which could impair our ability to integrate the acquired company and adversely impact our financial reporting. If we fail in our integration efforts with respect to any of our acquisitions and are unable to efficiently operate as a combined organization, our business and financial condition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entered into agreements that require us to pay a significant portion of our future revenue to third parties.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2009, we received a grant from the Atlantic Canada Opportunities Agency to fund a research program. A total of C$2.9 million was made available under the grant, and we had received C$ 2.5 million of this amount through December 31, 2013. Once we begin to generate revenue, we must commence repayment of the outstanding loan in the form of a 10% royalty. These loan payments could negatively impact our ability to support our operations.</w:t>
      </w:r>
    </w:p>
    <w:p>
      <w:pPr>
        <w:spacing w:after="0" w:line="1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in February 2013, we entered into the ECC with Intrexon pursuant to which we are permitted to use Intrexon’s UltraVector</w:t>
      </w:r>
      <w:r>
        <w:rPr>
          <w:rFonts w:ascii="Arial" w:cs="Arial" w:eastAsia="Arial" w:hAnsi="Arial"/>
          <w:sz w:val="15"/>
          <w:szCs w:val="15"/>
          <w:color w:val="auto"/>
        </w:rPr>
        <w:t>®</w:t>
      </w:r>
      <w:r>
        <w:rPr>
          <w:rFonts w:ascii="Arial" w:cs="Arial" w:eastAsia="Arial" w:hAnsi="Arial"/>
          <w:sz w:val="18"/>
          <w:szCs w:val="18"/>
          <w:color w:val="auto"/>
        </w:rPr>
        <w:t xml:space="preserve"> and other technology platforms to develop and commercialize additional genetically modified traits in finfish for human consumption. The ECC grants us a worldwide license to use specified patents and other intellectual property of Intrexon in connection with the research, development, use, importing, manufacture, sale and offer for sale of products involving DNA administered to finfish for human consumption. We agreed under the ECC to pay Intrexon, on a quarterly basis, 16.66% of the gross profits calculated for each developed product. We also agreed to pay Intrexon 50% of the quarterly revenue obtained from a sublicensor in the event of a sublicensing arrangement. In addition, we agreed to reimburse Intrexon for the costs of certain services provided by Intrexon. These payments could negatively impact our ability to support our operations.</w:t>
      </w:r>
    </w:p>
    <w:p>
      <w:pPr>
        <w:spacing w:after="0" w:line="18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Our financial condition or results of operations may be adversely affected by international business risks, including exchange rate fluctuation.</w:t>
      </w:r>
    </w:p>
    <w:p>
      <w:pPr>
        <w:spacing w:after="0" w:line="17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majority of our employees, including our research personnel, are located outside the United States. As a consequence of the international nature of our business, we are exposed to risks associated with changes in foreign currency exchange rates. We are based in the United States and present our financial statements in U.S. dollars and the majority of our cash resources are held in U.S. dollars or in Canadian dollars. Some of our future expenses and revenues are expected to be denominated in currencies other than in U.S. dollars. Therefore, movements in exchange rates to translate to foreign currencies may have a negative impact on our reported results of operations, financial position and cash flows.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received government research grants and loans in the past, but such grants and loans may not be available in the future.</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in the past received government assistance in the form of research grants and loans to partially fund various research projects, including projects involving our AquAdvantage</w:t>
      </w:r>
      <w:r>
        <w:rPr>
          <w:rFonts w:ascii="Arial" w:cs="Arial" w:eastAsia="Arial" w:hAnsi="Arial"/>
          <w:sz w:val="15"/>
          <w:szCs w:val="15"/>
          <w:color w:val="auto"/>
        </w:rPr>
        <w:t>®</w:t>
      </w:r>
      <w:r>
        <w:rPr>
          <w:rFonts w:ascii="Arial" w:cs="Arial" w:eastAsia="Arial" w:hAnsi="Arial"/>
          <w:sz w:val="18"/>
          <w:szCs w:val="18"/>
          <w:color w:val="auto"/>
        </w:rPr>
        <w:t xml:space="preserve"> Salmon. There can be no assurance that additional government assistance will be available in the future to help offset the cost of our research activities, in which case we would need to fund our research projects entirely from our available cash resources, which may be limited. This could delay progress on future product development and introduction. In addition, we may be subject to audit by the government agencies that provided research assistance to ensure that the funds were used in accordance with the terms of the grant or loan. Any audit of the use of these funds would require the expenditure of funds and result in the diversion of management’s attention.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Intrexon’s significant share ownership position allows it to influence corporate matters.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Intrexon currently owns 59.77% of our outstanding shares of common stock. In addition, we have granted to Intrexon certain rights to nominate members of our Board of Directors that are intended to ensure that Intrexon-nominated Board members represent a percentage of our Board that is proportionate to Intrexon’s percentage ownership of our common stock. Accordingly, Intrexon will be able to significantly influence who serves on our Board of Directors and the outcome of matters required to be submitted to our shareholders for approval, including decisions relating to the outcome of any proposed merger or consolidation of our company. Intrexon’s interests may not be consistent with those of our other shareholders. In addition, Intrexon’s significant interest in us may discourage third parties from seeking to acquire control of us, which may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develop or be sustained.</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Although our common stock is currently traded on AIM and we intend to apply to list our common stock on the NASDAQ Capital Market, an active trading market for our common stock may never develop or, if developed, be maintained. If an active market for our common stock does not develop or is not maintained, it may be difficult for shareholders to sell shares of our common stock.</w:t>
      </w:r>
    </w:p>
    <w:p>
      <w:pPr>
        <w:spacing w:after="0" w:line="203"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As a result of Intrexon’s significant ownership percentage, the market in our common stock is expected to provide relatively low levels of liquidity in the foreseeable future. An inactive trading market may impair our ability to raise capital to continue to fund operations by selling shares and may impair our ability to acquire other companies or technologies by using our shares as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shares of common stock is likely to be volatile.</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share price of publicly traded emerging companies can be highly volatile and subject to wide fluctuations. The prices at which our common stock are quoted and the prices which investors may realize will be influenced by a large number of factors, some specific to our company and operations and some which may affect the quoted biotechnology sector, or quoted companies generally. These factors could include variations in our operating results, publicity regarding the process of obtaining regulatory approval to commercialize our products, divergence in financial results from analysts’ expectations, changes in earnings estimates by stock market analysts, overall market or sector sentiment, legislative changes in our sector, the performance of our research and development programs, large purchases or sales of our common stock, currency fluctuations, legislative changes in the genetic engineering environment and general economic conditions. Certain of these events and factors are outside of our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control. Stock markets have from time to time experienced severe price and volume fluctuations, which, if recurring, could adversely affect the market prices for our commons stock.</w:t>
      </w:r>
    </w:p>
    <w:p>
      <w:pPr>
        <w:spacing w:after="0" w:line="17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We do not anticipate paying cash dividends, and accordingly, shareholders must rely on stock appreciation for any return on their investment.</w:t>
      </w:r>
    </w:p>
    <w:p>
      <w:pPr>
        <w:spacing w:after="0" w:line="1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have never declared or paid cash dividends on our capital stock. We do not anticipate paying cash dividends in the future and intend to retain all of our future earnings, if any, to finance the operations, development and growth of our business. As a result, only appreciation of the price of our common stock, which may never occur, will provide a return to shareholders.</w:t>
      </w:r>
    </w:p>
    <w:p>
      <w:pPr>
        <w:spacing w:after="0" w:line="18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inaccurate or unfavorable research or reports about our business, our share price and trading volume could decline.</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trading market for our shares of common stock will depend, in part, on the research and reports that securities or industry analysts publish about us or our business. We do not have any control over these analysts. If no securities or industry analysts commence coverage of us, the trading price for our shares of common stock may be negatively impacted. If we obtain securities or industry analyst coverage and if one or more of the analysts who covers us downgrades our shares of common stock, changes their opinion of our shares or publishes inaccurate or unfavorable research about our business, our share price would likely decline. If one or more of these analysts ceases coverage of us or fails to publish reports on us regularly, demand for our shares of common stock could decrease and we could lose visibility in the financial markets, which could cause our share price and trading volume to decline.</w:t>
      </w:r>
    </w:p>
    <w:p>
      <w:pPr>
        <w:spacing w:after="0" w:line="18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shares of common stock less attractive to investors.</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are an “emerging growth company,” as defined in Section 2(a) of the Securities Act, as amended by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in the assessment of our internal control over financial reporting under Section 404(b) of the Sarbanes-Oxley Act, an exemption from the adoption of new or revised financial accounting standards until they would apply to private companies, an exemption from compliance with any new requirements adopted by the PCAOB requiring mandatory audit firm rotation or a supplement to the auditors’ report in which the auditor would be required to provide additional information about the audit and the financial statements of the issuer, reduced disclosure obligations regarding executive compensation in our periodic reports and proxy statements and exemptions from the requirements of holding advisory “say-on-pay” votes on executive compensation and shareholder advisory votes on golden parachute compensation not previously approved. Under the JOBS Act, we will remain an “emerging growth company” until the earliest of (1) the last day of the fiscal year following the fifth anniversary of the date of the first sale of our common stock pursuant to an effective registration statement filed under the Securities Act,</w:t>
      </w:r>
    </w:p>
    <w:p>
      <w:pPr>
        <w:spacing w:after="0" w:line="8" w:lineRule="exact"/>
        <w:rPr>
          <w:sz w:val="20"/>
          <w:szCs w:val="20"/>
          <w:color w:val="auto"/>
        </w:rPr>
      </w:pPr>
    </w:p>
    <w:p>
      <w:pPr>
        <w:ind w:right="80" w:firstLine="8"/>
        <w:spacing w:after="0" w:line="238"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 (3) the date on which we have, during the previous three-year period, issued more than $1 billion in non-convertible debt and (4) the date on which we are deemed to be a “large accelerated filer” as defined in Rule 12b-2 under the Exchange Act.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apply to private companies. We have irrevocably elected to avail ourselves of this exemption from new or revised accounting standards and, therefore, will not be subject to the same new or revised accounting standards as other public companies that are not emerging growth companies.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Our shareholders will not have the same protections generally available to shareholders of other NASDAQ-listed companies because we are currently a “controlled company” within the meaning of the NASDAQ listing rules.</w:t>
      </w:r>
    </w:p>
    <w:p>
      <w:pPr>
        <w:spacing w:after="0" w:line="176"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Because Intrexon holds a majority of the voting power for the election of our Board of Directors, we are a “controlled company” within the meaning of NASDAQ Listing Rule 5615(c). As a controlled company, we qualify for exemptions from several of NASDAQ’s corporate governance requirements, including requirements that:</w:t>
      </w:r>
    </w:p>
    <w:p>
      <w:pPr>
        <w:spacing w:after="0" w:line="108"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w:t>
      </w:r>
    </w:p>
    <w:p>
      <w:pPr>
        <w:spacing w:after="0" w:line="117" w:lineRule="exact"/>
        <w:rPr>
          <w:rFonts w:ascii="Arial" w:cs="Arial" w:eastAsia="Arial" w:hAnsi="Arial"/>
          <w:sz w:val="18"/>
          <w:szCs w:val="18"/>
          <w:color w:val="auto"/>
        </w:rPr>
      </w:pPr>
    </w:p>
    <w:p>
      <w:pPr>
        <w:ind w:left="900" w:right="40" w:hanging="325"/>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our Board of Directors by a majority of its independent directors or by a compensation committee comprised solely of independent directors; and</w:t>
      </w:r>
    </w:p>
    <w:p>
      <w:pPr>
        <w:spacing w:after="0" w:line="102" w:lineRule="exact"/>
        <w:rPr>
          <w:rFonts w:ascii="Arial" w:cs="Arial" w:eastAsia="Arial" w:hAnsi="Arial"/>
          <w:sz w:val="18"/>
          <w:szCs w:val="18"/>
          <w:color w:val="auto"/>
        </w:rPr>
      </w:pPr>
    </w:p>
    <w:p>
      <w:pPr>
        <w:ind w:left="900" w:right="800" w:hanging="325"/>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 nominees be selected or recommended to our Board of Directors by a majority of its independent directors or by a nominating committee that is composed entirely of independent directors.</w:t>
      </w:r>
    </w:p>
    <w:p>
      <w:pPr>
        <w:spacing w:after="0" w:line="19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While our Board of Directors has determined that a majority of its members are independent, we may not have a compensation committee or a nominating committee composed entirely of independent directors. Accordingly, our shareholders will not be afforded the same protections generally as shareholders of other NASDAQ-listed companies for so long as Intrexon controls the composition of our Board of Directors and our Board of Directors determines to rely upon exemptions available to controlled companies.</w:t>
      </w:r>
    </w:p>
    <w:p>
      <w:pPr>
        <w:spacing w:after="0" w:line="18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w:t>
      </w:r>
    </w:p>
    <w:p>
      <w:pPr>
        <w:spacing w:after="0" w:line="1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The financial reporting obligations of being a public company in the United States are expensive and time consuming, and may place significant additional demands on our management.</w:t>
      </w:r>
    </w:p>
    <w:p>
      <w:pPr>
        <w:spacing w:after="0" w:line="176"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Prior to the effectiveness of this Registration Statement on Form 10, we have not been subject to public company reporting obligations in the United States. The additional obligations of being a public company in the United States require significant additional expenditures, which we estimate will be approximately $400 thousand annually, and place additional demands on our management, including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NASDAQ, the exchange on which we intend to apply to list our common stock. Our management and other personnel will need to devote a substantial amount of time to ensure that we comply with all of these requirements. Moreover, despite recent reforms made possible by the JOBS Act, the reporting requirements, rules and regulations will increase our legal and financial compliance costs and will make some activities more time-consuming and costly, particularly if we were no longer to qualify as an “emerging growth company.” Any changes that we make to comply with these obligations may not be sufficient to allow us to satisfy our obligations as a public company on a timely basis, or at all.</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also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These factors also could make it more difficult for us to attract and retain qualified persons to serve on our Board of Directors, particularly to serve on our Audit Committee and Compensation Committee, or as executive officers.</w:t>
      </w:r>
    </w:p>
    <w:p>
      <w:pPr>
        <w:spacing w:after="0" w:line="18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The reverse stock split may not increase the price of shares of our common stock sufficiently and we may not be able to list our common stock on NASDAQ.</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expect that the 1-for-10 reverse stock split of our outstanding common stock will increase the market price of our common stock so that we will be able to meet the minimum bid price requirement of the NASDAQ listing rules. However, the effect of a reverse stock split upon the market price of our common stock cannot be predicted with certainty, and it is possible that the market price of our common stock following the reverse stock split will not permit us to be in compliance with the applicable minimum bid or price requirements. If we are unable meet the minimum bid or price requirements, we may be unable to list our shares on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reverse stock split may result in shareholders owning “odd lots” of shares of our common stock</w:t>
      </w:r>
      <w:r>
        <w:rPr>
          <w:rFonts w:ascii="Arial" w:cs="Arial" w:eastAsia="Arial" w:hAnsi="Arial"/>
          <w:sz w:val="18"/>
          <w:szCs w:val="18"/>
          <w:color w:val="auto"/>
        </w:rPr>
        <w:t>.</w:t>
      </w:r>
    </w:p>
    <w:p>
      <w:pPr>
        <w:spacing w:after="0" w:line="23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reverse stock split may result in some shareholders owning “odd lots” of less than 100 shares of common stock on a post-split basis. Odd lots may be more difficult to sell, or require greater transaction costs per share to sell, than shares in “round lots” of even multiples of 100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be able to comply with other continued listing standards of NASDAQ</w:t>
      </w:r>
      <w:r>
        <w:rPr>
          <w:rFonts w:ascii="Arial" w:cs="Arial" w:eastAsia="Arial" w:hAnsi="Arial"/>
          <w:sz w:val="18"/>
          <w:szCs w:val="18"/>
          <w:color w:val="auto"/>
        </w:rPr>
        <w:t>.</w:t>
      </w:r>
    </w:p>
    <w:p>
      <w:pPr>
        <w:spacing w:after="0" w:line="23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Even if we are able to meet the initial requirements for the listing of our common stock on NASDAQ, we cannot assure you that we will be able to comply with standards necessary to maintain a listing of our common stock on NASDAQ. Our failure to meet the NASDAQ continuing listing requirements may result in our common stock being delisted from NASDAQ.</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2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following table sets forth our selected consolidated financial data for the periods and as of the dates indicated. You should read the following selected consolidated financial data in conjunction with our audited consolidated financial statements and the related notes thereto included elsewhere in this Registration Statement on Form 10 and “—Management’s Discussion and Analysis of Financial Condition and Results of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consolidated statement of operations data for the years ended December 31, 2013, 2012 and 2011, and the consolidated balance sheet data as of December 31, 2013, 2012 and 2011, are derived from our audited consolidated financial statements. The consolidated statement of operations data for the six months ended June 30, 2014 and 2013, and the consolidated balance sheet data as of June 30, 2014, are derived from our unaudited consolidated financial statements. Our audited and unaudited consolidated financial statements have been prepared in U.S. dollars in accordance with United States generally accepted accounting principles, or U.S. GAAP.</w:t>
      </w:r>
    </w:p>
    <w:p>
      <w:pPr>
        <w:spacing w:after="0" w:line="20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Our historical results for any prior period are not necessarily indicative of results to be expected in any future period, and our results for any interim period are not necessarily indicative of results to be expected for a full fiscal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rPr>
              <w:t>(unaudited)</w:t>
            </w:r>
          </w:p>
        </w:tc>
        <w:tc>
          <w:tcPr>
            <w:tcW w:w="3200" w:type="dxa"/>
            <w:vAlign w:val="bottom"/>
            <w:gridSpan w:val="8"/>
            <w:vMerge w:val="restart"/>
          </w:tcPr>
          <w:p>
            <w:pPr>
              <w:jc w:val="right"/>
              <w:ind w:right="200"/>
              <w:spacing w:after="0"/>
              <w:rPr>
                <w:sz w:val="20"/>
                <w:szCs w:val="20"/>
                <w:color w:val="auto"/>
              </w:rPr>
            </w:pPr>
            <w:r>
              <w:rPr>
                <w:rFonts w:ascii="Arial" w:cs="Arial" w:eastAsia="Arial" w:hAnsi="Arial"/>
                <w:sz w:val="14"/>
                <w:szCs w:val="14"/>
                <w:b w:val="1"/>
                <w:bCs w:val="1"/>
                <w:color w:val="auto"/>
              </w:rPr>
              <w:t>in thousands, except share data</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spacing w:after="0"/>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Sales and marketing</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jc w:val="right"/>
              <w:ind w:right="568"/>
              <w:spacing w:after="0" w:line="162" w:lineRule="exact"/>
              <w:rPr>
                <w:sz w:val="20"/>
                <w:szCs w:val="20"/>
                <w:color w:val="auto"/>
              </w:rPr>
            </w:pPr>
            <w:r>
              <w:rPr>
                <w:rFonts w:ascii="Arial" w:cs="Arial" w:eastAsia="Arial" w:hAnsi="Arial"/>
                <w:sz w:val="15"/>
                <w:szCs w:val="15"/>
                <w:color w:val="auto"/>
              </w:rPr>
              <w:t>674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302</w:t>
            </w:r>
          </w:p>
        </w:tc>
        <w:tc>
          <w:tcPr>
            <w:tcW w:w="4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678</w:t>
            </w:r>
          </w:p>
        </w:tc>
        <w:tc>
          <w:tcPr>
            <w:tcW w:w="5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582</w:t>
            </w:r>
          </w:p>
        </w:tc>
        <w:tc>
          <w:tcPr>
            <w:tcW w:w="3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300"/>
              <w:spacing w:after="0" w:line="162" w:lineRule="exact"/>
              <w:rPr>
                <w:sz w:val="20"/>
                <w:szCs w:val="20"/>
                <w:color w:val="auto"/>
              </w:rPr>
            </w:pPr>
            <w:r>
              <w:rPr>
                <w:rFonts w:ascii="Arial" w:cs="Arial" w:eastAsia="Arial" w:hAnsi="Arial"/>
                <w:sz w:val="15"/>
                <w:szCs w:val="15"/>
                <w:color w:val="auto"/>
              </w:rPr>
              <w:t>Research and development</w:t>
            </w:r>
          </w:p>
        </w:tc>
        <w:tc>
          <w:tcPr>
            <w:tcW w:w="100" w:type="dxa"/>
            <w:vAlign w:val="bottom"/>
          </w:tcPr>
          <w:p>
            <w:pPr>
              <w:spacing w:after="0"/>
              <w:rPr>
                <w:sz w:val="14"/>
                <w:szCs w:val="14"/>
                <w:color w:val="auto"/>
              </w:rPr>
            </w:pPr>
          </w:p>
        </w:tc>
        <w:tc>
          <w:tcPr>
            <w:tcW w:w="1500" w:type="dxa"/>
            <w:vAlign w:val="bottom"/>
            <w:gridSpan w:val="2"/>
          </w:tcPr>
          <w:p>
            <w:pPr>
              <w:jc w:val="right"/>
              <w:ind w:right="568"/>
              <w:spacing w:after="0" w:line="162" w:lineRule="exact"/>
              <w:rPr>
                <w:sz w:val="20"/>
                <w:szCs w:val="20"/>
                <w:color w:val="auto"/>
              </w:rPr>
            </w:pPr>
            <w:r>
              <w:rPr>
                <w:rFonts w:ascii="Arial" w:cs="Arial" w:eastAsia="Arial" w:hAnsi="Arial"/>
                <w:sz w:val="15"/>
                <w:szCs w:val="15"/>
                <w:color w:val="auto"/>
              </w:rPr>
              <w:t>1,147</w:t>
            </w:r>
          </w:p>
        </w:tc>
        <w:tc>
          <w:tcPr>
            <w:tcW w:w="100" w:type="dxa"/>
            <w:vAlign w:val="bottom"/>
          </w:tcPr>
          <w:p>
            <w:pPr>
              <w:spacing w:after="0"/>
              <w:rPr>
                <w:sz w:val="14"/>
                <w:szCs w:val="14"/>
                <w:color w:val="auto"/>
              </w:rPr>
            </w:pPr>
          </w:p>
        </w:tc>
        <w:tc>
          <w:tcPr>
            <w:tcW w:w="12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824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1,895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1,629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2,165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General and administrative</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68"/>
              <w:spacing w:after="0" w:line="162" w:lineRule="exact"/>
              <w:rPr>
                <w:sz w:val="20"/>
                <w:szCs w:val="20"/>
                <w:color w:val="auto"/>
              </w:rPr>
            </w:pPr>
            <w:r>
              <w:rPr>
                <w:rFonts w:ascii="Arial" w:cs="Arial" w:eastAsia="Arial" w:hAnsi="Arial"/>
                <w:sz w:val="15"/>
                <w:szCs w:val="15"/>
                <w:color w:val="auto"/>
              </w:rPr>
              <w:t>1,661</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992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2,302</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2,101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2,578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ind w:left="300"/>
              <w:spacing w:after="0" w:line="162" w:lineRule="exact"/>
              <w:rPr>
                <w:sz w:val="20"/>
                <w:szCs w:val="20"/>
                <w:color w:val="auto"/>
              </w:rPr>
            </w:pPr>
            <w:r>
              <w:rPr>
                <w:rFonts w:ascii="Arial" w:cs="Arial" w:eastAsia="Arial" w:hAnsi="Arial"/>
                <w:sz w:val="15"/>
                <w:szCs w:val="15"/>
                <w:color w:val="auto"/>
              </w:rPr>
              <w:t>Restructuring charge</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94</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costs and expenses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3,482</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2,118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4,875</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4,406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5,416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20" w:type="dxa"/>
            <w:vAlign w:val="bottom"/>
            <w:gridSpan w:val="2"/>
          </w:tcPr>
          <w:p>
            <w:pPr>
              <w:spacing w:after="0"/>
              <w:rPr>
                <w:sz w:val="20"/>
                <w:szCs w:val="20"/>
                <w:color w:val="auto"/>
              </w:rPr>
            </w:pPr>
            <w:r>
              <w:rPr>
                <w:rFonts w:ascii="Arial" w:cs="Arial" w:eastAsia="Arial" w:hAnsi="Arial"/>
                <w:sz w:val="15"/>
                <w:szCs w:val="15"/>
                <w:color w:val="auto"/>
              </w:rPr>
              <w:t>Operating loss</w:t>
            </w:r>
          </w:p>
        </w:tc>
        <w:tc>
          <w:tcPr>
            <w:tcW w:w="100" w:type="dxa"/>
            <w:vAlign w:val="bottom"/>
          </w:tcPr>
          <w:p>
            <w:pPr>
              <w:spacing w:after="0"/>
              <w:rPr>
                <w:sz w:val="16"/>
                <w:szCs w:val="16"/>
                <w:color w:val="auto"/>
              </w:rPr>
            </w:pPr>
          </w:p>
        </w:tc>
        <w:tc>
          <w:tcPr>
            <w:tcW w:w="1500" w:type="dxa"/>
            <w:vAlign w:val="bottom"/>
            <w:gridSpan w:val="2"/>
          </w:tcPr>
          <w:p>
            <w:pPr>
              <w:jc w:val="right"/>
              <w:ind w:right="528"/>
              <w:spacing w:after="0"/>
              <w:rPr>
                <w:sz w:val="20"/>
                <w:szCs w:val="20"/>
                <w:color w:val="auto"/>
              </w:rPr>
            </w:pPr>
            <w:r>
              <w:rPr>
                <w:rFonts w:ascii="Arial" w:cs="Arial" w:eastAsia="Arial" w:hAnsi="Arial"/>
                <w:sz w:val="15"/>
                <w:szCs w:val="15"/>
                <w:color w:val="auto"/>
              </w:rPr>
              <w:t>(3,482)</w:t>
            </w:r>
          </w:p>
        </w:tc>
        <w:tc>
          <w:tcPr>
            <w:tcW w:w="10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5"/>
                <w:szCs w:val="15"/>
                <w:color w:val="auto"/>
              </w:rPr>
              <w:t>(2,118)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(4,875)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5"/>
                <w:szCs w:val="15"/>
                <w:color w:val="auto"/>
              </w:rPr>
              <w:t>(4,406)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(5,416)</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300"/>
              <w:spacing w:after="0" w:line="162" w:lineRule="exact"/>
              <w:rPr>
                <w:sz w:val="20"/>
                <w:szCs w:val="20"/>
                <w:color w:val="auto"/>
              </w:rPr>
            </w:pPr>
            <w:r>
              <w:rPr>
                <w:rFonts w:ascii="Arial" w:cs="Arial" w:eastAsia="Arial" w:hAnsi="Arial"/>
                <w:sz w:val="15"/>
                <w:szCs w:val="15"/>
                <w:color w:val="auto"/>
              </w:rPr>
              <w:t>Gain on royalty based financing instrument</w:t>
            </w:r>
          </w:p>
        </w:tc>
        <w:tc>
          <w:tcPr>
            <w:tcW w:w="100" w:type="dxa"/>
            <w:vAlign w:val="bottom"/>
          </w:tcPr>
          <w:p>
            <w:pPr>
              <w:spacing w:after="0"/>
              <w:rPr>
                <w:sz w:val="14"/>
                <w:szCs w:val="14"/>
                <w:color w:val="auto"/>
              </w:rPr>
            </w:pPr>
          </w:p>
        </w:tc>
        <w:tc>
          <w:tcPr>
            <w:tcW w:w="1500" w:type="dxa"/>
            <w:vAlign w:val="bottom"/>
            <w:gridSpan w:val="2"/>
          </w:tcPr>
          <w:p>
            <w:pPr>
              <w:jc w:val="right"/>
              <w:ind w:right="668"/>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00" w:type="dxa"/>
            <w:vAlign w:val="bottom"/>
            <w:gridSpan w:val="2"/>
          </w:tcPr>
          <w:p>
            <w:pPr>
              <w:ind w:left="60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187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Interest and other income (expense), net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ind w:left="300"/>
              <w:spacing w:after="0" w:line="169" w:lineRule="exact"/>
              <w:rPr>
                <w:sz w:val="20"/>
                <w:szCs w:val="20"/>
                <w:color w:val="auto"/>
              </w:rPr>
            </w:pPr>
            <w:r>
              <w:rPr>
                <w:rFonts w:ascii="Arial" w:cs="Arial" w:eastAsia="Arial" w:hAnsi="Arial"/>
                <w:sz w:val="15"/>
                <w:szCs w:val="15"/>
                <w:color w:val="auto"/>
              </w:rPr>
              <w:t>Total other income (expense)</w:t>
            </w:r>
          </w:p>
        </w:tc>
        <w:tc>
          <w:tcPr>
            <w:tcW w:w="10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5</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186</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jc w:val="right"/>
              <w:ind w:right="528"/>
              <w:spacing w:after="0" w:line="162" w:lineRule="exact"/>
              <w:rPr>
                <w:sz w:val="20"/>
                <w:szCs w:val="20"/>
                <w:color w:val="auto"/>
              </w:rPr>
            </w:pPr>
            <w:r>
              <w:rPr>
                <w:rFonts w:ascii="Arial" w:cs="Arial" w:eastAsia="Arial" w:hAnsi="Arial"/>
                <w:sz w:val="15"/>
                <w:szCs w:val="15"/>
                <w:color w:val="auto"/>
              </w:rPr>
              <w:t>(3,477)</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(2,119)</w:t>
            </w:r>
          </w:p>
        </w:tc>
        <w:tc>
          <w:tcPr>
            <w:tcW w:w="4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(4,689)</w:t>
            </w:r>
          </w:p>
        </w:tc>
        <w:tc>
          <w:tcPr>
            <w:tcW w:w="5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(4,415)</w:t>
            </w:r>
          </w:p>
        </w:tc>
        <w:tc>
          <w:tcPr>
            <w:tcW w:w="3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(2,710)</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5"/>
                <w:szCs w:val="15"/>
                <w:color w:val="auto"/>
              </w:rPr>
              <w:t>Other comprehensive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Foreign currency translation gain (loss)</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28"/>
              <w:spacing w:after="0" w:line="162" w:lineRule="exact"/>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67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94</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ind w:left="300"/>
              <w:spacing w:after="0" w:line="162" w:lineRule="exact"/>
              <w:rPr>
                <w:sz w:val="20"/>
                <w:szCs w:val="20"/>
                <w:color w:val="auto"/>
              </w:rPr>
            </w:pPr>
            <w:r>
              <w:rPr>
                <w:rFonts w:ascii="Arial" w:cs="Arial" w:eastAsia="Arial" w:hAnsi="Arial"/>
                <w:sz w:val="15"/>
                <w:szCs w:val="15"/>
                <w:color w:val="auto"/>
              </w:rPr>
              <w:t>Unrealized losses on marketable securities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Total other comprehensive income (loss)</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28"/>
              <w:spacing w:after="0" w:line="162" w:lineRule="exact"/>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67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94</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gridSpan w:val="2"/>
          </w:tcPr>
          <w:p>
            <w:pPr>
              <w:spacing w:after="0" w:line="169" w:lineRule="exact"/>
              <w:rPr>
                <w:sz w:val="20"/>
                <w:szCs w:val="20"/>
                <w:color w:val="auto"/>
              </w:rPr>
            </w:pPr>
            <w:r>
              <w:rPr>
                <w:rFonts w:ascii="Arial" w:cs="Arial" w:eastAsia="Arial" w:hAnsi="Arial"/>
                <w:sz w:val="15"/>
                <w:szCs w:val="15"/>
                <w:color w:val="auto"/>
              </w:rPr>
              <w:t>Comprehensive loss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500" w:type="dxa"/>
            <w:vAlign w:val="bottom"/>
            <w:gridSpan w:val="2"/>
          </w:tcPr>
          <w:p>
            <w:pPr>
              <w:jc w:val="right"/>
              <w:ind w:right="528"/>
              <w:spacing w:after="0" w:line="169" w:lineRule="exact"/>
              <w:rPr>
                <w:sz w:val="20"/>
                <w:szCs w:val="20"/>
                <w:color w:val="auto"/>
              </w:rPr>
            </w:pPr>
            <w:r>
              <w:rPr>
                <w:rFonts w:ascii="Arial" w:cs="Arial" w:eastAsia="Arial" w:hAnsi="Arial"/>
                <w:sz w:val="15"/>
                <w:szCs w:val="15"/>
                <w:color w:val="auto"/>
              </w:rPr>
              <w:t>(3,496)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(2,052)</w:t>
            </w:r>
          </w:p>
        </w:tc>
        <w:tc>
          <w:tcPr>
            <w:tcW w:w="4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(4,595)</w:t>
            </w:r>
          </w:p>
        </w:tc>
        <w:tc>
          <w:tcPr>
            <w:tcW w:w="5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(4,424)</w:t>
            </w:r>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Basic and diluted net loss per share</w:t>
            </w:r>
            <w:r>
              <w:rPr>
                <w:rFonts w:ascii="Arial" w:cs="Arial" w:eastAsia="Arial" w:hAnsi="Arial"/>
                <w:sz w:val="15"/>
                <w:szCs w:val="15"/>
                <w:color w:val="auto"/>
              </w:rPr>
              <w:t>(1)</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jc w:val="right"/>
              <w:ind w:right="528"/>
              <w:spacing w:after="0" w:line="156" w:lineRule="exact"/>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5"/>
                <w:szCs w:val="15"/>
                <w:color w:val="auto"/>
              </w:rPr>
              <w:t>(0.02)</w:t>
            </w:r>
          </w:p>
        </w:tc>
        <w:tc>
          <w:tcPr>
            <w:tcW w:w="4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(0.04)</w:t>
            </w:r>
          </w:p>
        </w:tc>
        <w:tc>
          <w:tcPr>
            <w:tcW w:w="5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5"/>
                <w:szCs w:val="15"/>
                <w:color w:val="auto"/>
              </w:rPr>
              <w:t>(0.05)</w:t>
            </w:r>
          </w:p>
        </w:tc>
        <w:tc>
          <w:tcPr>
            <w:tcW w:w="34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tcPr>
          <w:p>
            <w:pPr>
              <w:spacing w:after="0" w:line="159" w:lineRule="exact"/>
              <w:rPr>
                <w:sz w:val="20"/>
                <w:szCs w:val="20"/>
                <w:color w:val="auto"/>
              </w:rPr>
            </w:pPr>
            <w:r>
              <w:rPr>
                <w:rFonts w:ascii="Arial" w:cs="Arial" w:eastAsia="Arial" w:hAnsi="Arial"/>
                <w:sz w:val="15"/>
                <w:szCs w:val="15"/>
                <w:color w:val="auto"/>
              </w:rPr>
              <w:t>Weighted average number of common shares—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00" w:type="dxa"/>
            <w:vAlign w:val="bottom"/>
          </w:tcPr>
          <w:p>
            <w:pPr>
              <w:ind w:left="140"/>
              <w:spacing w:after="0"/>
              <w:rPr>
                <w:sz w:val="20"/>
                <w:szCs w:val="20"/>
                <w:color w:val="auto"/>
              </w:rPr>
            </w:pPr>
            <w:r>
              <w:rPr>
                <w:rFonts w:ascii="Arial" w:cs="Arial" w:eastAsia="Arial" w:hAnsi="Arial"/>
                <w:sz w:val="15"/>
                <w:szCs w:val="15"/>
                <w:color w:val="auto"/>
              </w:rPr>
              <w:t>basic and diluted(1)</w:t>
            </w:r>
          </w:p>
        </w:tc>
        <w:tc>
          <w:tcPr>
            <w:tcW w:w="100" w:type="dxa"/>
            <w:vAlign w:val="bottom"/>
          </w:tcPr>
          <w:p>
            <w:pPr>
              <w:spacing w:after="0"/>
              <w:rPr>
                <w:sz w:val="16"/>
                <w:szCs w:val="16"/>
                <w:color w:val="auto"/>
              </w:rPr>
            </w:pPr>
          </w:p>
        </w:tc>
        <w:tc>
          <w:tcPr>
            <w:tcW w:w="1500" w:type="dxa"/>
            <w:vAlign w:val="bottom"/>
            <w:gridSpan w:val="2"/>
          </w:tcPr>
          <w:p>
            <w:pPr>
              <w:jc w:val="right"/>
              <w:ind w:right="568"/>
              <w:spacing w:after="0"/>
              <w:rPr>
                <w:sz w:val="20"/>
                <w:szCs w:val="20"/>
                <w:color w:val="auto"/>
              </w:rPr>
            </w:pPr>
            <w:r>
              <w:rPr>
                <w:rFonts w:ascii="Arial" w:cs="Arial" w:eastAsia="Arial" w:hAnsi="Arial"/>
                <w:sz w:val="15"/>
                <w:szCs w:val="15"/>
                <w:color w:val="auto"/>
              </w:rPr>
              <w:t>136,173,414</w:t>
            </w:r>
          </w:p>
        </w:tc>
        <w:tc>
          <w:tcPr>
            <w:tcW w:w="10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5"/>
                <w:szCs w:val="15"/>
                <w:color w:val="auto"/>
                <w:w w:val="98"/>
              </w:rPr>
              <w:t>120,613,246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120,613,246</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5"/>
                <w:szCs w:val="15"/>
                <w:color w:val="auto"/>
              </w:rPr>
              <w:t>94,701,028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68,570,857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right="340" w:hanging="332"/>
        <w:spacing w:after="0" w:line="242"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basic and diluted net loss per share and weighted average number of common shares used in the net loss per share calculation have not been adjusted to reflect the 1-for-10 reverse stock split to be effected immediately following the effective time of this Registration Statement on Form 10.</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45"/>
              <w:spacing w:after="0" w:line="155"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43"/>
              <w:spacing w:after="0" w:line="155"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64"/>
              <w:spacing w:after="0" w:line="155"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
              <w:spacing w:after="0"/>
              <w:rPr>
                <w:sz w:val="20"/>
                <w:szCs w:val="20"/>
                <w:color w:val="auto"/>
              </w:rPr>
            </w:pPr>
            <w:r>
              <w:rPr>
                <w:rFonts w:ascii="Arial" w:cs="Arial" w:eastAsia="Arial" w:hAnsi="Arial"/>
                <w:sz w:val="14"/>
                <w:szCs w:val="14"/>
                <w:b w:val="1"/>
                <w:bCs w:val="1"/>
                <w:color w:val="auto"/>
                <w:w w:val="99"/>
              </w:rPr>
              <w:t>(unaudited)</w:t>
            </w:r>
          </w:p>
        </w:tc>
        <w:tc>
          <w:tcPr>
            <w:tcW w:w="480" w:type="dxa"/>
            <w:vAlign w:val="bottom"/>
          </w:tcPr>
          <w:p>
            <w:pPr>
              <w:spacing w:after="0"/>
              <w:rPr>
                <w:sz w:val="15"/>
                <w:szCs w:val="15"/>
                <w:color w:val="auto"/>
              </w:rPr>
            </w:pPr>
          </w:p>
        </w:tc>
        <w:tc>
          <w:tcPr>
            <w:tcW w:w="1040" w:type="dxa"/>
            <w:vAlign w:val="bottom"/>
            <w:gridSpan w:val="3"/>
            <w:vMerge w:val="restart"/>
          </w:tcPr>
          <w:p>
            <w:pPr>
              <w:jc w:val="right"/>
              <w:ind w:right="44"/>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Sheet Data: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Arial" w:cs="Arial" w:eastAsia="Arial" w:hAnsi="Arial"/>
                <w:sz w:val="15"/>
                <w:szCs w:val="15"/>
                <w:color w:val="auto"/>
              </w:rPr>
              <w:t>Cash, cash equivalents and certificate of deposit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8,639</w:t>
            </w:r>
          </w:p>
        </w:tc>
        <w:tc>
          <w:tcPr>
            <w:tcW w:w="4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w w:val="95"/>
              </w:rPr>
              <w:t>1,889</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84"/>
              <w:spacing w:after="0" w:line="162" w:lineRule="exact"/>
              <w:rPr>
                <w:sz w:val="20"/>
                <w:szCs w:val="20"/>
                <w:color w:val="auto"/>
              </w:rPr>
            </w:pPr>
            <w:r>
              <w:rPr>
                <w:rFonts w:ascii="Arial" w:cs="Arial" w:eastAsia="Arial" w:hAnsi="Arial"/>
                <w:sz w:val="15"/>
                <w:szCs w:val="15"/>
                <w:color w:val="auto"/>
              </w:rPr>
              <w:t>363</w:t>
            </w:r>
          </w:p>
        </w:tc>
        <w:tc>
          <w:tcPr>
            <w:tcW w:w="500" w:type="dxa"/>
            <w:vAlign w:val="bottom"/>
          </w:tcPr>
          <w:p>
            <w:pPr>
              <w:jc w:val="center"/>
              <w:spacing w:after="0" w:line="162" w:lineRule="exact"/>
              <w:rPr>
                <w:sz w:val="20"/>
                <w:szCs w:val="20"/>
                <w:color w:val="auto"/>
              </w:rPr>
            </w:pPr>
            <w:r>
              <w:rPr>
                <w:rFonts w:ascii="Arial" w:cs="Arial" w:eastAsia="Arial" w:hAnsi="Arial"/>
                <w:sz w:val="15"/>
                <w:szCs w:val="15"/>
                <w:color w:val="auto"/>
                <w:w w:val="95"/>
              </w:rPr>
              <w:t>$ 1,645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assets</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36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10,271</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3,561</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84"/>
              <w:spacing w:after="0" w:line="162" w:lineRule="exact"/>
              <w:rPr>
                <w:sz w:val="20"/>
                <w:szCs w:val="20"/>
                <w:color w:val="auto"/>
              </w:rPr>
            </w:pPr>
            <w:r>
              <w:rPr>
                <w:rFonts w:ascii="Arial" w:cs="Arial" w:eastAsia="Arial" w:hAnsi="Arial"/>
                <w:sz w:val="15"/>
                <w:szCs w:val="15"/>
                <w:color w:val="auto"/>
              </w:rPr>
              <w:t>1,962</w:t>
            </w:r>
          </w:p>
        </w:tc>
        <w:tc>
          <w:tcPr>
            <w:tcW w:w="5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$ 3,537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Arial" w:cs="Arial" w:eastAsia="Arial" w:hAnsi="Arial"/>
                <w:sz w:val="15"/>
                <w:szCs w:val="15"/>
                <w:color w:val="auto"/>
              </w:rPr>
              <w:t>Long term debt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2,639</w:t>
            </w:r>
          </w:p>
        </w:tc>
        <w:tc>
          <w:tcPr>
            <w:tcW w:w="4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w w:val="95"/>
              </w:rPr>
              <w:t>2,360</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84"/>
              <w:spacing w:after="0" w:line="162" w:lineRule="exact"/>
              <w:rPr>
                <w:sz w:val="20"/>
                <w:szCs w:val="20"/>
                <w:color w:val="auto"/>
              </w:rPr>
            </w:pPr>
            <w:r>
              <w:rPr>
                <w:rFonts w:ascii="Arial" w:cs="Arial" w:eastAsia="Arial" w:hAnsi="Arial"/>
                <w:sz w:val="15"/>
                <w:szCs w:val="15"/>
                <w:color w:val="auto"/>
              </w:rPr>
              <w:t>2,035</w:t>
            </w:r>
          </w:p>
        </w:tc>
        <w:tc>
          <w:tcPr>
            <w:tcW w:w="500" w:type="dxa"/>
            <w:vAlign w:val="bottom"/>
          </w:tcPr>
          <w:p>
            <w:pPr>
              <w:jc w:val="center"/>
              <w:spacing w:after="0" w:line="162" w:lineRule="exact"/>
              <w:rPr>
                <w:sz w:val="20"/>
                <w:szCs w:val="20"/>
                <w:color w:val="auto"/>
              </w:rPr>
            </w:pPr>
            <w:r>
              <w:rPr>
                <w:rFonts w:ascii="Arial" w:cs="Arial" w:eastAsia="Arial" w:hAnsi="Arial"/>
                <w:sz w:val="15"/>
                <w:szCs w:val="15"/>
                <w:color w:val="auto"/>
                <w:w w:val="95"/>
              </w:rPr>
              <w:t>$ 1,393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Stockholders’ equity (deficit)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6,904</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497</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24"/>
              <w:spacing w:after="0" w:line="162" w:lineRule="exact"/>
              <w:rPr>
                <w:sz w:val="20"/>
                <w:szCs w:val="20"/>
                <w:color w:val="auto"/>
              </w:rPr>
            </w:pPr>
            <w:r>
              <w:rPr>
                <w:rFonts w:ascii="Arial" w:cs="Arial" w:eastAsia="Arial" w:hAnsi="Arial"/>
                <w:sz w:val="15"/>
                <w:szCs w:val="15"/>
                <w:color w:val="auto"/>
              </w:rPr>
              <w:t>(780)</w:t>
            </w:r>
          </w:p>
        </w:tc>
        <w:tc>
          <w:tcPr>
            <w:tcW w:w="5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$ 1,578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discussion and analysis should be read in conjunction with the other sections of this Registration Statement on Form 10, including our consolidated financial statements and notes thereto included in Item 13. “Financial Statements and Supplementary Data.” This discussion and analysis also contains forward-looking statements and should also be read in conjunction with the disclosures and information contained in “Cautionary Note Regarding Forward-Looking Statements” and Item 1A. “Risk Factors.” Our actual results may differ materially from those discussed below. The following discussion and analysis is intended to enhance the reader’s understanding of our business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we are a leader in the field of biotechnology tools for improving the productivity of aquaculture. Our lead product is the AquAdvantage</w:t>
      </w:r>
      <w:r>
        <w:rPr>
          <w:rFonts w:ascii="Arial" w:cs="Arial" w:eastAsia="Arial" w:hAnsi="Arial"/>
          <w:sz w:val="15"/>
          <w:szCs w:val="15"/>
          <w:color w:val="auto"/>
        </w:rPr>
        <w:t>®</w:t>
      </w:r>
      <w:r>
        <w:rPr>
          <w:rFonts w:ascii="Arial" w:cs="Arial" w:eastAsia="Arial" w:hAnsi="Arial"/>
          <w:sz w:val="18"/>
          <w:szCs w:val="18"/>
          <w:color w:val="auto"/>
        </w:rPr>
        <w:t xml:space="preserve"> Salmon, which is currently under FDA regulatory review. If approved, it will be the first genetically modified animal available for sale for human consumption. In the event we receive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we intend to commence commercial activities thereafter, including the sale of AquAdvantage</w:t>
      </w:r>
      <w:r>
        <w:rPr>
          <w:rFonts w:ascii="Arial" w:cs="Arial" w:eastAsia="Arial" w:hAnsi="Arial"/>
          <w:sz w:val="15"/>
          <w:szCs w:val="15"/>
          <w:color w:val="auto"/>
        </w:rPr>
        <w:t>®</w:t>
      </w:r>
      <w:r>
        <w:rPr>
          <w:rFonts w:ascii="Arial" w:cs="Arial" w:eastAsia="Arial" w:hAnsi="Arial"/>
          <w:sz w:val="18"/>
          <w:szCs w:val="18"/>
          <w:color w:val="auto"/>
        </w:rPr>
        <w:t xml:space="preserve"> Salmon eggs to qualified aquaculture farmers around the world and the farming of AquAdvantage</w:t>
      </w:r>
      <w:r>
        <w:rPr>
          <w:rFonts w:ascii="Arial" w:cs="Arial" w:eastAsia="Arial" w:hAnsi="Arial"/>
          <w:sz w:val="15"/>
          <w:szCs w:val="15"/>
          <w:color w:val="auto"/>
        </w:rPr>
        <w:t>®</w:t>
      </w:r>
      <w:r>
        <w:rPr>
          <w:rFonts w:ascii="Arial" w:cs="Arial" w:eastAsia="Arial" w:hAnsi="Arial"/>
          <w:sz w:val="18"/>
          <w:szCs w:val="18"/>
          <w:color w:val="auto"/>
        </w:rPr>
        <w:t xml:space="preserve"> Salmon eggs in approved, contained, land-based Recirculating Aquaculture System facilities in the United States. We believe it will take two years following receipt of FDA approval of the NADA to establish commercial operations and an additional two years before we can generate significant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have incurred significant losses since our inception. We anticipate that we may continue to incur significant losses for the foreseeable future, and we may never achieve or maintain profitability. We have never generated revenues from the sale of AquAdvantage</w:t>
      </w:r>
      <w:r>
        <w:rPr>
          <w:rFonts w:ascii="Arial" w:cs="Arial" w:eastAsia="Arial" w:hAnsi="Arial"/>
          <w:sz w:val="15"/>
          <w:szCs w:val="15"/>
          <w:color w:val="auto"/>
        </w:rPr>
        <w:t>®</w:t>
      </w:r>
      <w:r>
        <w:rPr>
          <w:rFonts w:ascii="Arial" w:cs="Arial" w:eastAsia="Arial" w:hAnsi="Arial"/>
          <w:sz w:val="18"/>
          <w:szCs w:val="18"/>
          <w:color w:val="auto"/>
        </w:rPr>
        <w:t xml:space="preserve"> Salmon, and we have had no revenues from any other product since 2008.</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expect our future capital requirements will be substantial, particularly as we continue to develop our business and expand our commercial activities. As discussed in Item 1. “Business—Recent Events,” in March 2014, we raised approximately $9.7 million of new equity capital through a private offering of shares of our common stock to Intrexon, our majority shareholder. After giving effect to this offering, and based on our current level of operations and anticipated growth, we believe our existing cash will provide adequate funds for ongoing operations, planned capital expenditures and working capital requirements through at least the next 12 months. We also believe that such proceeds will allow us to begin accelerated commercialization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following receipt of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We believe it will take two years following receipt of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to establish commercial operations and an additional two years before we can generate significant revenues and, accordingly, we anticipate that we will need to raise further funds prior to that time. We also intend to apply a portion of the net proceeds of the offering towards the development of new products through the ECC with Intrexon. In addition, we may need to raise additional capital if our current plans and assumptions change.</w:t>
      </w:r>
    </w:p>
    <w:p>
      <w:pPr>
        <w:spacing w:after="0" w:line="2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the next several years, we expect that our annual spending on operations will increase. We expect that our research and development costs will increase as we expand the scope of our current projects and add new development projects under the ECC with Intrexon. We expect that our general and administrative expenses will increase due to the added reporting requirements of being a reporting company in the United States, as well as due to the anticipated growth of our company. We expect that our sales and marketing expenses will increase following commencement of commercial activities for our AquAdvantage</w:t>
      </w:r>
      <w:r>
        <w:rPr>
          <w:rFonts w:ascii="Arial" w:cs="Arial" w:eastAsia="Arial" w:hAnsi="Arial"/>
          <w:sz w:val="15"/>
          <w:szCs w:val="15"/>
          <w:color w:val="auto"/>
        </w:rPr>
        <w:t>®</w:t>
      </w:r>
      <w:r>
        <w:rPr>
          <w:rFonts w:ascii="Arial" w:cs="Arial" w:eastAsia="Arial" w:hAnsi="Arial"/>
          <w:sz w:val="18"/>
          <w:szCs w:val="18"/>
          <w:color w:val="auto"/>
        </w:rPr>
        <w:t xml:space="preserve"> Salmon. We currently expect that the scale-up of production activities will require a second hatchery and an increase in our supply of green eggs. We may decide to enter production operations and raise the AquAdvantage</w:t>
      </w:r>
      <w:r>
        <w:rPr>
          <w:rFonts w:ascii="Arial" w:cs="Arial" w:eastAsia="Arial" w:hAnsi="Arial"/>
          <w:sz w:val="15"/>
          <w:szCs w:val="15"/>
          <w:color w:val="auto"/>
        </w:rPr>
        <w:t>®</w:t>
      </w:r>
      <w:r>
        <w:rPr>
          <w:rFonts w:ascii="Arial" w:cs="Arial" w:eastAsia="Arial" w:hAnsi="Arial"/>
          <w:sz w:val="18"/>
          <w:szCs w:val="18"/>
          <w:color w:val="auto"/>
        </w:rPr>
        <w:t xml:space="preserve"> Salmon eggs to harvest in our own facilities, and we are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searching for potential acquisition targets that would meet our anticipated requirements for Atlantic salmon egg production. These activities would require substantial new investment to fund the cost of construction for land-based farming facilities. However, the uncertainty of the timing of the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makes it difficult to forecast these expenses or create a definitive operational plan beyond the short-term. Upon receipt of FDA approval, we expect to finalize our operational plan and move forward with our expansion, which may require us to raise additional funds.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Until we receive FDA approval of the NADA for AquAdvantage</w:t>
      </w:r>
      <w:r>
        <w:rPr>
          <w:rFonts w:ascii="Arial" w:cs="Arial" w:eastAsia="Arial" w:hAnsi="Arial"/>
          <w:sz w:val="15"/>
          <w:szCs w:val="15"/>
          <w:color w:val="auto"/>
        </w:rPr>
        <w:t>®</w:t>
      </w:r>
      <w:r>
        <w:rPr>
          <w:rFonts w:ascii="Arial" w:cs="Arial" w:eastAsia="Arial" w:hAnsi="Arial"/>
          <w:sz w:val="18"/>
          <w:szCs w:val="18"/>
          <w:color w:val="auto"/>
        </w:rPr>
        <w:t xml:space="preserve"> Salmon, our sales and marketing expenses will consist primarily of personnel costs, travel and consulting fees for premarket commercial activities. As of June 30, 2014, we had two employees dedicated to sales and marketing. In addition, we operate a demonstration farm for AquAdvantage</w:t>
      </w:r>
      <w:r>
        <w:rPr>
          <w:rFonts w:ascii="Arial" w:cs="Arial" w:eastAsia="Arial" w:hAnsi="Arial"/>
          <w:sz w:val="15"/>
          <w:szCs w:val="15"/>
          <w:color w:val="auto"/>
        </w:rPr>
        <w:t>®</w:t>
      </w:r>
      <w:r>
        <w:rPr>
          <w:rFonts w:ascii="Arial" w:cs="Arial" w:eastAsia="Arial" w:hAnsi="Arial"/>
          <w:sz w:val="18"/>
          <w:szCs w:val="18"/>
          <w:color w:val="auto"/>
        </w:rPr>
        <w:t xml:space="preserve"> Salmon in Panama, and we incur both lease and local management costs to run the facility.</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employ eight technicians at our hatchery on Prince Edward Island to oversee our broodstock of AquAdvantage</w:t>
      </w:r>
      <w:r>
        <w:rPr>
          <w:rFonts w:ascii="Arial" w:cs="Arial" w:eastAsia="Arial" w:hAnsi="Arial"/>
          <w:sz w:val="15"/>
          <w:szCs w:val="15"/>
          <w:color w:val="auto"/>
        </w:rPr>
        <w:t>®</w:t>
      </w:r>
      <w:r>
        <w:rPr>
          <w:rFonts w:ascii="Arial" w:cs="Arial" w:eastAsia="Arial" w:hAnsi="Arial"/>
          <w:sz w:val="18"/>
          <w:szCs w:val="18"/>
          <w:color w:val="auto"/>
        </w:rPr>
        <w:t xml:space="preserve"> Salmon, as well as the lines of fish we maintain for research and development purposes. Since 2012, we have outsourced our research activities at the hatchery to Tethys Aquaculture Canada, Inc. (doing business as the Center for Aquaculture Technologies Canada), our former research group. In addition, under the ECC, we have an agreement with Intrexon to conduct research and develop new finfish products using their technology platform. We recognize research and development expenses as they are incurred. Our research and development expenses consist primarily of:</w:t>
      </w:r>
    </w:p>
    <w:p>
      <w:pPr>
        <w:spacing w:after="0" w:line="11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salaries and related overhead expenses for personnel in research and development functions;</w:t>
      </w:r>
    </w:p>
    <w:p>
      <w:pPr>
        <w:spacing w:after="0" w:line="117" w:lineRule="exact"/>
        <w:rPr>
          <w:rFonts w:ascii="Arial" w:cs="Arial" w:eastAsia="Arial" w:hAnsi="Arial"/>
          <w:sz w:val="18"/>
          <w:szCs w:val="18"/>
          <w:color w:val="auto"/>
        </w:rPr>
      </w:pPr>
    </w:p>
    <w:p>
      <w:pPr>
        <w:ind w:left="900" w:right="100" w:hanging="325"/>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paid to Tethys Aquaculture Canada, Inc., consultants and contract research organizations who perform research on our behalf and under our direction; and</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laboratory supplies used in our research and development efforts.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From time to time we receive government funding or assistance in support of certain research projects. Any funds received are credited against costs incurred for the specific program.</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General and administrative expenses consist primarily of salaries and related costs for employees in executive, operational and finance functions. Other significant general and administrative expenses include corporate governance and public market maintenance, regulatory, rent and utilities, insurance and legal services.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Restructuring Charge</w:t>
      </w:r>
    </w:p>
    <w:p>
      <w:pPr>
        <w:spacing w:after="0" w:line="126"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In conjunction with a fundraising in 2012, we implemented a reorganization intended to reduce operating costs by 30 percent, including the spin-off and sale of our research group to Tethys, our largest individual shareholder at that time. The restructuring charge during the year ended December 31, 2012 relates to the costs of implementing the reorganization.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Interest income consists of interest earned on our cash and short-term investments. Interest expense pertains to a term loan and a bridge loan from Intrexon. All of our interest bearing loans were fully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repaid during 2013. Other expense also includes bank charges and fees. Gain on royalty based financing instruments relates to the adjustments made to the balance of royalty based financing instruments with expiration dates. Adjustments are based on the likelihood of future repayment, taking into consideration the terms of the individual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we have prepared in accordance with U.S. GAAP. The preparation of our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appearing elsewhere in this Registration Statement on Form 10, we believe that the following accounting policies are the most critical for fully understanding and evaluating our financial condition and results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Assistance</w:t>
      </w:r>
    </w:p>
    <w:p>
      <w:pPr>
        <w:spacing w:after="0" w:line="126"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From time to time we receive government assistance in the form of research grants, which are recorded as a reduction of the related expenditures. All government assistance is subject to periodic audit by the agency involved in the grant.</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Allowance for Net Deferred Tax Assets</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record a valuation allowance to offset any net deferred tax assets if, based upon the available evidence, it is more likely than not that we will not recognize some or all of the deferred tax assets. We have had a history of net losses since inception, and as a result, we have established a 100% valuation allowance for our net deferred tax assets. If circumstances change and we determine that we will able to realize some or all of these net deferred tax assets in the future, we will record an adjustment to the valuation allowance.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Definite lived intangible assets include patents and licenses. Patent costs consist primarily of legal and filing fees incurred to file patents on proprietary technology that we have developed. Patent costs are amortized on a straight line basis over 20 years beginning with the issue date of the applicable patent. Licensing fees are capitalized and expensed over the term of the licensing agreement. Indefinite lived intangible assets include trademark costs, which are capitalized with no amortization as they have an indefinite life.</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review the carrying value of its long-lived tangible assets and definite lived intangible assets on an annual basis or more frequently if facts and circumstances suggest that they may be impaired. The carrying values of such assets are considered impaired when the anticipated identifiable undiscounted cash flows from such assets are less than their carrying values. An impairment loss, if any, is recognized in the amount of the difference between the carrying amount and fair value. Indefinite lived intangible assets are subject to impairment testing annually or more frequently if impairment indicators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arise. Our impairment testing utilizes a discounted cash flow analysis that requires significant management judgment with respect to revenue and expense growth rates, changes in working capital and the selection and use of the appropriate discount rate. An impairment loss, if any, is recognized in the amount of the difference between the carrying amount and fair value.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Royalty-Based Financing Instruments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From time to time we will enter into financing arrangements whereby the funds received will be repaid through future royalties from revenues at agreed upon royalty rates. Amounts to be paid may be in excess of amounts borrowed. Additionally, in certain instances the repayment terms have expiration dates. We record outstanding borrowings under these arrangements as long-term debt liabilities and adjust the balance based on the likelihood of future repayment, taking into consideration the terms of the individual arrangement.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measure and recognize all share-based payment awards, including stock options made to employees and directors, based on estimated fair values. The fair value of share-based payment awards are estimated on the date of grant using an option pricing model. The value of the portion of the award that is ultimately expected to vest is recognized as an expense over the requisite service period in our consolidated statement of operations. We use the Black-Scholes option pricing model, or Black-Scholes, as our method of valuation.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June 30, 2014 to the three months ended June 30, 2013.</w:t>
      </w:r>
    </w:p>
    <w:p>
      <w:pPr>
        <w:spacing w:after="0" w:line="12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following table summarizes our results of operations for the three months ended June 30, 2014 and 2013, together with the changes in those items in dollars and as a percentage (in thousands):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2014</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ind w:left="380"/>
              <w:spacing w:after="0" w:line="155" w:lineRule="exact"/>
              <w:rPr>
                <w:sz w:val="20"/>
                <w:szCs w:val="20"/>
                <w:color w:val="auto"/>
              </w:rPr>
            </w:pPr>
            <w:r>
              <w:rPr>
                <w:rFonts w:ascii="Arial" w:cs="Arial" w:eastAsia="Arial" w:hAnsi="Arial"/>
                <w:sz w:val="14"/>
                <w:szCs w:val="14"/>
                <w:b w:val="1"/>
                <w:bCs w:val="1"/>
                <w:color w:val="auto"/>
              </w:rPr>
              <w:t>(unaudited)</w:t>
            </w:r>
          </w:p>
        </w:tc>
        <w:tc>
          <w:tcPr>
            <w:tcW w:w="3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356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153</w:t>
            </w:r>
          </w:p>
        </w:tc>
        <w:tc>
          <w:tcPr>
            <w:tcW w:w="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6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6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939</w:t>
            </w: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564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6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7"/>
              </w:rPr>
              <w:t>1,896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1,190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w:t>
            </w:r>
          </w:p>
        </w:tc>
        <w:tc>
          <w:tcPr>
            <w:tcW w:w="6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Total other expenses, net</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1,187</w:t>
            </w:r>
          </w:p>
        </w:tc>
        <w:tc>
          <w:tcPr>
            <w:tcW w:w="4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6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Sales and marketing expenses were $356 thousand for the three month period ended June 30, 2014 compared to $153 thousand for the three month period ended June 30, 2013, resulting in an increase of $203 thousand, or 133%. The increase in sales and marketing expenses for the three months ended June 30, 2014 was the result of increased costs for our demonstration farm in Panama incurred in conjunction with the transfer of the management of the site and the hiring of the Chief Operating Officer for our AquaBounty Farms division. Our initial five-year lease for the Panama site commenced in October 2008. During its term, we managed the site remotely using local contract workers for daily</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operations. When the subsequent two-year lease renewal was executed, we included a management fee to compensate the landowner for operating the site directly on our behalf. This added approximately $44 thousand to the cost of operating the farm in the three month period ended June 30, 2014. We expect that our sales and marketing expenses will increase in the event we receive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and commence full commercial activities.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Research and development expenses were $ 601 thousand for the three month period ended June 30, 2014 compared to $473 thousand for the three month period ended June 30, 2013, resulting in an increase of $128 thousand, or 27%. The increase in research and development expenses for the three months ended June 30, 2014 was the result of work performed on two research projects under the ECC with Intrexon. We expect that our research and development expenses will increase as we continue to enter into new ECC projects and as we scale-up our commercial operations.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General and administrative expenses were $939 thousand for the three month period ended June 30, 2014 compared to $564 thousand for the three month period ended June 30, 2013, resulting in an increase of $ 375 thousand, or 66%. The increase in general and administrative expenses for the three months ended June 30, 2014 was the result of legal fees incurred in the registration of our common stock, additional auditing fees, and the hiring of an employee in mid-2013. We expect that our general and administrative expenses will increase as we operate as a public company in the United States. We estimate that expenditures associated with being a public company will be approximately $400 thousand annually and will include increased costs for director and officer liability insurance, costs related to the hiring of additional personnel and increased fees for outside consultants, lawyers and accountants. We also expect to incur increased costs to comply with corporate governance, internal controls and similar requirements applicable to U.S. public companies.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Other Expense, Net</w:t>
      </w:r>
    </w:p>
    <w:p>
      <w:pPr>
        <w:spacing w:after="0" w:line="12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Total other expense, net is primarily comprised of $7 thousand of interest income and $1 thousand of interest expenses and bank charges for the three month period ended June 30, 2014, compared to $5 thousand of interest income and $2 thousand of interest expenses and bank charges for the three month period ended June 30, 2013.</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six months ended June 30, 2014 to the six months ended June 30, 2013.</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summarizes our results of operations for the six months ended June 30, 2014 and 2013, together with the changes in those items in dollars and as a percentage (in thousands):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Change</w:t>
            </w:r>
          </w:p>
        </w:tc>
        <w:tc>
          <w:tcPr>
            <w:tcW w:w="8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ind w:left="380"/>
              <w:spacing w:after="0" w:line="155" w:lineRule="exact"/>
              <w:rPr>
                <w:sz w:val="20"/>
                <w:szCs w:val="20"/>
                <w:color w:val="auto"/>
              </w:rPr>
            </w:pPr>
            <w:r>
              <w:rPr>
                <w:rFonts w:ascii="Arial" w:cs="Arial" w:eastAsia="Arial" w:hAnsi="Arial"/>
                <w:sz w:val="14"/>
                <w:szCs w:val="14"/>
                <w:b w:val="1"/>
                <w:bCs w:val="1"/>
                <w:color w:val="auto"/>
              </w:rPr>
              <w:t>(unaudited)</w:t>
            </w:r>
          </w:p>
        </w:tc>
        <w:tc>
          <w:tcPr>
            <w:tcW w:w="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674</w:t>
            </w:r>
          </w:p>
        </w:tc>
        <w:tc>
          <w:tcPr>
            <w:tcW w:w="540" w:type="dxa"/>
            <w:vAlign w:val="bottom"/>
          </w:tcPr>
          <w:p>
            <w:pPr>
              <w:spacing w:after="0"/>
              <w:rPr>
                <w:sz w:val="17"/>
                <w:szCs w:val="17"/>
                <w:color w:val="auto"/>
              </w:rPr>
            </w:pP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320" w:type="dxa"/>
            <w:vAlign w:val="bottom"/>
          </w:tcPr>
          <w:p>
            <w:pPr>
              <w:spacing w:after="0"/>
              <w:rPr>
                <w:sz w:val="17"/>
                <w:szCs w:val="17"/>
                <w:color w:val="auto"/>
              </w:rPr>
            </w:pPr>
          </w:p>
        </w:tc>
        <w:tc>
          <w:tcPr>
            <w:tcW w:w="44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5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w w:val="97"/>
              </w:rPr>
              <w:t>1,147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68"/>
              <w:spacing w:after="0" w:line="202" w:lineRule="exact"/>
              <w:rPr>
                <w:sz w:val="20"/>
                <w:szCs w:val="20"/>
                <w:color w:val="auto"/>
              </w:rPr>
            </w:pPr>
            <w:r>
              <w:rPr>
                <w:rFonts w:ascii="Arial" w:cs="Arial" w:eastAsia="Arial" w:hAnsi="Arial"/>
                <w:sz w:val="18"/>
                <w:szCs w:val="18"/>
                <w:color w:val="auto"/>
                <w:w w:val="97"/>
              </w:rPr>
              <w:t>1,661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5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w w:val="97"/>
              </w:rPr>
              <w:t>3,482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2,118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7"/>
              </w:rPr>
              <w:t>1,364</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Total other expenses, net</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w w:val="97"/>
              </w:rPr>
              <w:t>3,477</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9"/>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2,119</w:t>
            </w:r>
          </w:p>
        </w:tc>
        <w:tc>
          <w:tcPr>
            <w:tcW w:w="4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7"/>
              </w:rPr>
              <w:t>1,358</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40" w:type="dxa"/>
            <w:vAlign w:val="bottom"/>
            <w:vMerge w:val="restart"/>
          </w:tcPr>
          <w:p>
            <w:pPr>
              <w:jc w:val="right"/>
              <w:ind w:right="75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Sales and marketing expenses were $674 thousand for the six month period ended June 30, 2014 compared to $302 thousand for the six month period ended June 30, 2013, resulting in an increase of $372 thousand, or 123%. The increase in sales and marketing expenses for the six months ended June 30, 2014 was the result of premarket commercial activities for AquAdvantage</w:t>
      </w:r>
      <w:r>
        <w:rPr>
          <w:rFonts w:ascii="Arial" w:cs="Arial" w:eastAsia="Arial" w:hAnsi="Arial"/>
          <w:sz w:val="15"/>
          <w:szCs w:val="15"/>
          <w:color w:val="auto"/>
        </w:rPr>
        <w:t>®</w:t>
      </w:r>
      <w:r>
        <w:rPr>
          <w:rFonts w:ascii="Arial" w:cs="Arial" w:eastAsia="Arial" w:hAnsi="Arial"/>
          <w:sz w:val="18"/>
          <w:szCs w:val="18"/>
          <w:color w:val="auto"/>
        </w:rPr>
        <w:t xml:space="preserve"> Salmon, increased costs for our demonstration farm in Panama incurred in conjunction with the transfer of the management of the site and the hiring of the Chief Operating Officer for our AquaBounty Farms division. Our initial five-year lease for the Panama site commenced in October 2008. During its term, we managed the site remotely using local contract workers for daily operations. When the subsequent two-year lease renewal was executed, we included a management fee to compensate the landowner for operating the site directly on our behalf. This added approximately $103 thousand to the cost of operating the farm in the six month period ended June 30, 2014. We expect that our sales and marketing expenses will increase in the event we receive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and commence full commercial activities.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Research and development expenses were $ 1.1 million for the six month period ended June 30, 2014 compared to $ 824 thousand for the six month period ended June 30, 2013, resulting in an increase of $323 thousand, or 39%. The increase in research and development expenses for the six months ended June 30, 2014 was the result of work performed on two research projects under the ECC with Intrexon. We expect that our research and development expenses will increase as we continue to enter into new ECC projects and as we scale-up our commercial operations.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General and administrative expenses were $1.7 million for the six month period ended June 30, 2014 compared to $992 thousand for the six month period ended June 30, 2013, resulting in an increase of $669 thousand, or 67%. The increase in general and administrative expenses for the six months ended June 30, 2014 was the result of legal fees incurred in the registration of our common stock, additional auditing fees, and the hiring of an employee in mid-2013. We expect that our general and administrative expenses will increase as we operate as a public company in the United States. We estimate that expenditures associated with being a public company will be approximately $400 thousand annually and will include increased costs for director and officer liability insurance, costs related to the hiring of additional personnel and increased fees for outside consultants, lawyers and accountants. We also expect to incur increased costs to comply with corporate governance, internal controls and similar requirements applicable to U.S. public companies.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Other Expense, Net</w:t>
      </w:r>
    </w:p>
    <w:p>
      <w:pPr>
        <w:spacing w:after="0" w:line="12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Total other expense, net is primarily comprised of $8 thousand of interest income and $3 thousand of interest expenses and bank charges for the six month period ended June 30, 2014, compared to $5 thousand of interest income and $6 thousand of interest expenses and bank charges for the six month period ended June 30, 2013.</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2013 and the year ended December 31, 2012.</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following table summarizes our results of operations for the years ended December 31, 2013 and 2012, together with the changes in those items in dollars and as a percentage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5"/>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56"/>
        </w:trPr>
        <w:tc>
          <w:tcPr>
            <w:tcW w:w="7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Change</w:t>
            </w:r>
          </w:p>
        </w:tc>
      </w:tr>
      <w:tr>
        <w:trPr>
          <w:trHeight w:val="183"/>
        </w:trPr>
        <w:tc>
          <w:tcPr>
            <w:tcW w:w="7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678</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582</w:t>
            </w:r>
          </w:p>
        </w:tc>
        <w:tc>
          <w:tcPr>
            <w:tcW w:w="280" w:type="dxa"/>
            <w:vAlign w:val="bottom"/>
          </w:tcPr>
          <w:p>
            <w:pPr>
              <w:spacing w:after="0"/>
              <w:rPr>
                <w:sz w:val="17"/>
                <w:szCs w:val="17"/>
                <w:color w:val="auto"/>
              </w:rPr>
            </w:pP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96</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1,629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2,302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2,101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5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4,875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4,406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5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(2167)%</w:t>
            </w: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4,689</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4,415</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274</w:t>
            </w:r>
          </w:p>
        </w:tc>
        <w:tc>
          <w:tcPr>
            <w:tcW w:w="5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Sales and marketing expenses were $678 thousand for the year ended December 31, 2013 compared to $582 thousand for the year ended December 31, 2012, resulting in an increase of $ 96 thousand, or 16%. The increase was the result of premarket commercial activities for AquAdvantage</w:t>
      </w:r>
      <w:r>
        <w:rPr>
          <w:rFonts w:ascii="Arial" w:cs="Arial" w:eastAsia="Arial" w:hAnsi="Arial"/>
          <w:sz w:val="15"/>
          <w:szCs w:val="15"/>
          <w:color w:val="auto"/>
        </w:rPr>
        <w:t>®</w:t>
      </w:r>
      <w:r>
        <w:rPr>
          <w:rFonts w:ascii="Arial" w:cs="Arial" w:eastAsia="Arial" w:hAnsi="Arial"/>
          <w:sz w:val="18"/>
          <w:szCs w:val="18"/>
          <w:color w:val="auto"/>
        </w:rPr>
        <w:t xml:space="preserve"> Salmon and increased costs for our demonstration farm in Panama incurred in conjunction with the transfer of the management of the site. Our initial five-year lease for the Panama site commenced in October 2008. During its term, we managed the site remotely using local contract workers for daily operations. When the subsequent two-year lease renewal was executed, we included a management fee to compensate the landowner for operating the site directly on our behalf. This added approximately $30 thousand to the cost of operating the farm in 2013. In conjunction with the new lease, we paid an upfront deposit of $180 thousand, which will be amortized over the first year of the term. Upon completion of this lease, we expect the landowner to take over the site and thus become a customer for AquAdvantage</w:t>
      </w:r>
      <w:r>
        <w:rPr>
          <w:rFonts w:ascii="Arial" w:cs="Arial" w:eastAsia="Arial" w:hAnsi="Arial"/>
          <w:sz w:val="15"/>
          <w:szCs w:val="15"/>
          <w:color w:val="auto"/>
        </w:rPr>
        <w:t>®</w:t>
      </w:r>
      <w:r>
        <w:rPr>
          <w:rFonts w:ascii="Arial" w:cs="Arial" w:eastAsia="Arial" w:hAnsi="Arial"/>
          <w:sz w:val="18"/>
          <w:szCs w:val="18"/>
          <w:color w:val="auto"/>
        </w:rPr>
        <w:t xml:space="preserve"> Salmon eggs. We also expect that our sales and marketing expenses will increase in the event we receive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and commence full commercial activities.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Research and development expenses were $1.9 million for the year ended December 31, 2013 compared to $1.6 million for the year ended December 31, 2012, resulting in an increase of $266 thousand, or 16%. The increase was the result of the initiation of two new research projects under the ECC with Intrexon. We expect that our research and development expenses will increase as we continue to enter into new ECC projects and as we scale-up our commercial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General and administrative expenses were $ 2.3 million for the year ended December 31, 2013 compared to $2.1 million for the year ended December 31, 2012, resulting in an increase of $201 thousand, or 10%. The increase in 2013 was the result of an employee hire mid-way through the year and a year-end bonus accrual. We expect that our general and administrative expenses will increase as we operate as a public company in the United States. We estimate that expenditures associated with being a public company will be approximately $400 thousand annually and will include costs for director and officer liability insurance, costs related to the hiring of additional personnel and increased fees for outside consultants, lawyers and accountants. We also expect to incur increased costs to comply with corporate governance, internal controls and similar requirements applicable to U.S. public companies.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Restructuring Charge</w:t>
      </w:r>
    </w:p>
    <w:p>
      <w:pPr>
        <w:spacing w:after="0" w:line="12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 restructuring charge of $94 thousand was incurred during the year ended December 31, 2012 in conjunction with our reorganization and the spin-out of our research group.</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Other Income (Expense), Net</w:t>
      </w:r>
    </w:p>
    <w:p>
      <w:pPr>
        <w:spacing w:after="0" w:line="122"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Total other income (expense), net is primarily comprised of $8 thousand of interest income and $9 thousand of interest expenses and bank charges for the year ended December 31, 2013, along with a gain on royalty based financing instrument of $187 thousand, compared to $9 thousand of interest expenses and bank charges for the year ended December 31, 2012.</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2012 and the year ended December 31, 2011.</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summarizes our results of operations for the years ended December 31, 2013 and 2012, together with the changes in those items in dollars and as a percentage (in thousands):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Years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r>
      <w:tr>
        <w:trPr>
          <w:trHeight w:val="156"/>
        </w:trPr>
        <w:tc>
          <w:tcPr>
            <w:tcW w:w="6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7"/>
              </w:rPr>
              <w:t>Change</w:t>
            </w:r>
          </w:p>
        </w:tc>
      </w:tr>
      <w:tr>
        <w:trPr>
          <w:trHeight w:val="183"/>
        </w:trPr>
        <w:tc>
          <w:tcPr>
            <w:tcW w:w="6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582</w:t>
            </w:r>
          </w:p>
        </w:tc>
        <w:tc>
          <w:tcPr>
            <w:tcW w:w="5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673</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(91)</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1,629</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2,165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(536)</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2,101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7"/>
              </w:rPr>
              <w:t>2,578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(477)</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4,406</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7"/>
              </w:rPr>
              <w:t>5,416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8"/>
              </w:rPr>
              <w:t>(1,010)</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2,706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8"/>
              </w:rPr>
              <w:t>(2,715)</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w:t>
            </w: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4,415</w:t>
            </w: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1,705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were $582 thousand for the year ended December 31, 2012 compared to $673 thousand for the year ended December 31, 2011, resulting in a decrease of $91 thousand, or 14%. The decrease was the result of a scale-back in spending on international marketing efforts and field trial preparations.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Research and development expenses were $1.6 million for the year ended December 31, 2012 compared to $2.2 million for the year ended December 31, 2011, resulting in a decrease of $536 thousand, or 25%. The decrease in 2012 was the result of the reorganization, which included the spin-out of our research group.</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General and administrative expenses were $2.1 million for the year ended December 31, 2012 compared to $2.6 million for the year ended December 31, 2011, resulting in a decrease of $477 thousand, or 19%. The decrease in 2012 was the result of the reorganization, including a reduction in force and the closure of two offices.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Restructuring Charge</w:t>
      </w:r>
    </w:p>
    <w:p>
      <w:pPr>
        <w:spacing w:after="0" w:line="12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 restructuring charge of $94 thousand was incurred during the year ended December 31, 2012 in conjunction with the reorganization and spin-out of our research group.</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 net is primarily comprised of $9 thousand of interest expenses and bank charges for the year ended</w:t>
      </w:r>
    </w:p>
    <w:p>
      <w:pPr>
        <w:ind w:right="20"/>
        <w:spacing w:after="0" w:line="246" w:lineRule="auto"/>
        <w:rPr>
          <w:sz w:val="20"/>
          <w:szCs w:val="20"/>
          <w:color w:val="auto"/>
        </w:rPr>
      </w:pPr>
      <w:r>
        <w:rPr>
          <w:rFonts w:ascii="Arial" w:cs="Arial" w:eastAsia="Arial" w:hAnsi="Arial"/>
          <w:sz w:val="18"/>
          <w:szCs w:val="18"/>
          <w:color w:val="auto"/>
        </w:rPr>
        <w:t>December 31, 2012 compared to $10 thousand of interest income and $13 thousand of interest expenses and bank charges for the year ended December 31, 2011, along with a gain on royalty based financing instrument of $2.7 million.</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Liquidity</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incurred losses from operations since our inception in 1991 and as of June 30, 2014, we had an accumulated deficit of $80.1 million. From our inception through 2005, we funded our operations principally with the proceeds received from the sale of $34 million of our preferred stock and common stock and convertible debt to private investors. On March 20, 2006 we completed a public offering of common stock in the United Kingdom, raising net proceeds of $28 million. In 2010, 2012 and 2013, we raised additional funds totaling $13 million in three private placements of shares to existing investors.</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March 20, 2014, we completed a private placement of 19,040,366 shares of our common stock, all of which was purchased by Intrexon, our majority shareholder. The net proceeds from this offering were approximately $9.7 million. As of June 30, 2014, we had cash and cash equivalents of $8.6 million. For a discussion of the impact of this offering on our capitalization and balance sheet, see Item 10. “Recent Sales of Unregistered Securities.”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set forth below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3"/>
                <w:szCs w:val="13"/>
                <w:color w:val="auto"/>
              </w:rPr>
            </w:pPr>
          </w:p>
        </w:tc>
        <w:tc>
          <w:tcPr>
            <w:tcW w:w="6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ind w:left="198"/>
              <w:spacing w:after="0" w:line="155"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center"/>
              <w:ind w:right="13"/>
              <w:spacing w:after="0" w:line="155" w:lineRule="exact"/>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(3,184)</w:t>
            </w: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8"/>
              </w:rPr>
              <w:t>$(2,186)</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$(4,458)</w:t>
            </w:r>
          </w:p>
        </w:tc>
        <w:tc>
          <w:tcPr>
            <w:tcW w:w="13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$(3,715)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(4,951)</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w:t>
            </w:r>
          </w:p>
        </w:tc>
        <w:tc>
          <w:tcPr>
            <w:tcW w:w="13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3,450</w:t>
            </w: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10,018</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5,838</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6,127</w:t>
            </w:r>
          </w:p>
        </w:tc>
        <w:tc>
          <w:tcPr>
            <w:tcW w:w="13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2,553</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120" w:type="dxa"/>
            <w:vAlign w:val="bottom"/>
          </w:tcPr>
          <w:p>
            <w:pPr>
              <w:spacing w:after="0"/>
              <w:rPr>
                <w:sz w:val="17"/>
                <w:szCs w:val="17"/>
                <w:color w:val="auto"/>
              </w:rPr>
            </w:pP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6,750</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$ 3,592</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$ 1,527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cash used in operating activities was $3.2 million and $2.2 million for the six months ended June 30, 2014 and 2013, respectively. Net cash used in operating activities during the six months ended June 30, 2014 was primarily comprised of our $3.5 million net loss, offset by depreciation and stock compensation charges of $229 thousand, and working capital sources of $63 thousand. Net cash used in operating activities during the six months ended June 30, 2013 was primarily comprised of our $2.1 million net loss offset by depreciation and stock compensation charges of $106 thousand and working capital uses of $173 thousand. Spending on operations increased by $1.4 million during the current six month period, as we incurred legal and audit expenses associated with the registration of our common stock, continued to invest in new research programs, and added headcount. Cash provided by working capital came from reductions in receivables and prepaid expenses and an increase in payables and accrued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Net cash used in operating activities was $4.5 million for the year ended December 31, 2013 compared to $3.7 million for the year ended December 31, 2012 and $5.0 million for the year ended December 31, 2011.</w:t>
      </w:r>
    </w:p>
    <w:p>
      <w:pPr>
        <w:spacing w:after="0" w:line="1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cash used in operating activities during the year ended December 31, 2013 was primarily comprised of our $4.7 million net loss, offset by depreciation and stock compensation charges of $289 thousand, a gain of $187 thousand on a royalty-based financing instrument, and working capital increases of $129 thousand. Spending on operations increased by $470 thousand during 2013, as we began to increase employee headcount and to invest in new research programs. Cash provided by changes in working capital came primarily from an increase in accruals of $230 thousand related to research programs and license fees, offset by an increase in prepaid expenses of $90 thousand related to the deposit for the lease renewal in Panama.</w:t>
      </w:r>
    </w:p>
    <w:p>
      <w:pPr>
        <w:spacing w:after="0" w:line="20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Net cash used in operating activities during the year ended December 31, 2012 was primarily comprised of our $4.4 million net loss offset by depreciation and stock compensation charges of $550 thousand and working capital increases of $144 thousand. Spending on operations decreased by $1.0 million during 2012, as we implemented a reorganization and restructuring in order to conserve cash. Cash provided by changes in working capital came primarily from the payment of outstanding receivables and the amortization of prepaid expenses.</w:t>
      </w:r>
    </w:p>
    <w:p>
      <w:pPr>
        <w:spacing w:after="0" w:line="20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Net cash used in operating activities during the year ended December 31, 2011 was primarily comprised of our $2.7 million net loss, offset by depreciation and stock compensation charges of $531 thousand, a gain of $2.7 million on a royalty-based financing instrument, and working capital decreases of $63 thousand. Spending on operations increased by just $100 thousand during 2011, as we attempted to maintain operating activities at their current levels. Working capital declined during the year as cash was used on the pay down of both payables and accrued expenses.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$ 69 thousand and $60 thousand for the six months ended June 30, 2014 and 2013, respectively. In the current six month period, we used $48 thousand for equipment purchases and $21 thousand for patent charges. In the prior year period, we used $43 thousand for equipment purchases and $17 thousand for patent charges.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cash used in investing activities was $142 thousand for the year ended December 31, 2013 compared to $122 thousand for the year ended December 31, 2012 and net cash provided $3.4 million for the year ended December 31, 2011. In 2013, we used $100 thousand for equipment purchases and incurred $42 thousand for patent charges. In 2012, we used $53 thousand for equipment purchases and incurred $69 thousand for patent charges. In 2011, we received $3.5 million from the maturity of marketable securities, net of purchases, and we used $69 thousand for equipment purchases and incurred $14 thousand for patent charges.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Net cash provided by financing activities was $10.0 million and $ 5.8 million for the six months ended June 30, 2014 and 2013, respectively. In the current period, we received $9.7 million of net proceeds from the issuance of our common stock in a private placement of shares, we received $6 thousand in proceeds from the exercise of stock options and we received $ 268 thousand in proceeds from the issuance of debt. In the prior year period, we received $5.7 million of net proceeds from the issuance of our common stock in a private placement of shares, we received $4 thousand in proceeds from the exercise of stock options, and we received $643 thousand in proceeds from the issuance of debt and repaid $535 thousand in current debt.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Net cash provided by financing activities was $6.1 million for the year ended December 31, 2013 compared to $2.6 million for the year ended December 31, 2012 and $551 thousand for the year ended December 31, 2011. In 2013, we received $5.7 million of net proceeds from the issuance of our common stock in a private placement of shares, we received $ 4 thousand in proceeds from the exercise of stock options and we received $397 thousand in proceeds from the issuance of term debt, net of current payments. In 2012, we received $1.7 million of net proceeds from the issuance of our common stock in a private placement of shares and we received $810 thousand in proceeds from the issuance of term debt, net of current payments. In 2011, we received $4 thousand in proceeds from the exercise of stock options and we received $547 thousand in proceeds from the issuance of term debt, net of current payments.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Capital Requirements</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March 20, 2014, we completed a private offering of 19,040,366 shares of our common stock to Intrexon, our majority shareholder. The net proceeds from this offering were approximately $9.7 million. For a discussion of the impact of this offering on our capitalization and balance sheet, see Item 10. “Recent Sales of Unregistered Securities.” After giving effect to the offering, we had $8.6 million of available cash and cash equivalents at June 30, 2014.</w:t>
      </w:r>
    </w:p>
    <w:p>
      <w:pPr>
        <w:spacing w:after="0" w:line="20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believe our existing cash will provide adequate funds for ongoing operations, planned capital expenditures and working capital requirements through at least the next 12 months. We anticipate a need to raise further funds in order to complete the commercialization of AquAdvantage</w:t>
      </w:r>
      <w:r>
        <w:rPr>
          <w:rFonts w:ascii="Arial" w:cs="Arial" w:eastAsia="Arial" w:hAnsi="Arial"/>
          <w:sz w:val="15"/>
          <w:szCs w:val="15"/>
          <w:color w:val="auto"/>
        </w:rPr>
        <w:t>®</w:t>
      </w:r>
      <w:r>
        <w:rPr>
          <w:rFonts w:ascii="Arial" w:cs="Arial" w:eastAsia="Arial" w:hAnsi="Arial"/>
          <w:sz w:val="18"/>
          <w:szCs w:val="18"/>
          <w:color w:val="auto"/>
        </w:rPr>
        <w:t xml:space="preserve"> Salmon once FDA approval is received. We intend to devote a significant portion of our existing cash to the commercial roll-out of our AquAdvantage</w:t>
      </w:r>
      <w:r>
        <w:rPr>
          <w:rFonts w:ascii="Arial" w:cs="Arial" w:eastAsia="Arial" w:hAnsi="Arial"/>
          <w:sz w:val="15"/>
          <w:szCs w:val="15"/>
          <w:color w:val="auto"/>
        </w:rPr>
        <w:t>®</w:t>
      </w:r>
      <w:r>
        <w:rPr>
          <w:rFonts w:ascii="Arial" w:cs="Arial" w:eastAsia="Arial" w:hAnsi="Arial"/>
          <w:sz w:val="18"/>
          <w:szCs w:val="18"/>
          <w:color w:val="auto"/>
        </w:rPr>
        <w:t xml:space="preserve"> Salmon product and the continued investment in our research and development projects. We have not determined the amounts we may spend on the commercial roll-out of AquAdvantage</w:t>
      </w:r>
      <w:r>
        <w:rPr>
          <w:rFonts w:ascii="Arial" w:cs="Arial" w:eastAsia="Arial" w:hAnsi="Arial"/>
          <w:sz w:val="15"/>
          <w:szCs w:val="15"/>
          <w:color w:val="auto"/>
        </w:rPr>
        <w:t>®</w:t>
      </w:r>
      <w:r>
        <w:rPr>
          <w:rFonts w:ascii="Arial" w:cs="Arial" w:eastAsia="Arial" w:hAnsi="Arial"/>
          <w:sz w:val="18"/>
          <w:szCs w:val="18"/>
          <w:color w:val="auto"/>
        </w:rPr>
        <w:t xml:space="preserve"> Salmon and research and development projects. We may also use existing cash for acquisitions of companies that we believe may be complementary to our current business plan.</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have based our estimates on assumptions that may prove to be wrong, and we may use our available capital resources sooner than we currently expect. Our future capital requirements will depend on many factors, including:</w:t>
      </w:r>
    </w:p>
    <w:p>
      <w:pPr>
        <w:spacing w:after="0" w:line="10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 FDA approval for AquAdvantage</w:t>
      </w:r>
      <w:r>
        <w:rPr>
          <w:rFonts w:ascii="Arial" w:cs="Arial" w:eastAsia="Arial" w:hAnsi="Arial"/>
          <w:sz w:val="15"/>
          <w:szCs w:val="15"/>
          <w:color w:val="auto"/>
        </w:rPr>
        <w:t>®</w:t>
      </w:r>
      <w:r>
        <w:rPr>
          <w:rFonts w:ascii="Arial" w:cs="Arial" w:eastAsia="Arial" w:hAnsi="Arial"/>
          <w:sz w:val="18"/>
          <w:szCs w:val="18"/>
          <w:color w:val="auto"/>
        </w:rPr>
        <w:t xml:space="preserve"> Salmon, if ever;</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regulatory approvals for AquAdvantage</w:t>
      </w:r>
      <w:r>
        <w:rPr>
          <w:rFonts w:ascii="Arial" w:cs="Arial" w:eastAsia="Arial" w:hAnsi="Arial"/>
          <w:sz w:val="15"/>
          <w:szCs w:val="15"/>
          <w:color w:val="auto"/>
        </w:rPr>
        <w:t>®</w:t>
      </w:r>
      <w:r>
        <w:rPr>
          <w:rFonts w:ascii="Arial" w:cs="Arial" w:eastAsia="Arial" w:hAnsi="Arial"/>
          <w:sz w:val="18"/>
          <w:szCs w:val="18"/>
          <w:color w:val="auto"/>
        </w:rPr>
        <w:t xml:space="preserve"> Salmon in other countries, if any;</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roll-out of our AquAdvantage</w:t>
      </w:r>
      <w:r>
        <w:rPr>
          <w:rFonts w:ascii="Arial" w:cs="Arial" w:eastAsia="Arial" w:hAnsi="Arial"/>
          <w:sz w:val="15"/>
          <w:szCs w:val="15"/>
          <w:color w:val="auto"/>
        </w:rPr>
        <w:t>®</w:t>
      </w:r>
      <w:r>
        <w:rPr>
          <w:rFonts w:ascii="Arial" w:cs="Arial" w:eastAsia="Arial" w:hAnsi="Arial"/>
          <w:sz w:val="18"/>
          <w:szCs w:val="18"/>
          <w:color w:val="auto"/>
        </w:rPr>
        <w:t xml:space="preserve"> Salmon commercial plan;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acceptance of AquAdvantage</w:t>
      </w:r>
      <w:r>
        <w:rPr>
          <w:rFonts w:ascii="Arial" w:cs="Arial" w:eastAsia="Arial" w:hAnsi="Arial"/>
          <w:sz w:val="15"/>
          <w:szCs w:val="15"/>
          <w:color w:val="auto"/>
        </w:rPr>
        <w:t>®</w:t>
      </w:r>
      <w:r>
        <w:rPr>
          <w:rFonts w:ascii="Arial" w:cs="Arial" w:eastAsia="Arial" w:hAnsi="Arial"/>
          <w:sz w:val="18"/>
          <w:szCs w:val="18"/>
          <w:color w:val="auto"/>
        </w:rPr>
        <w:t xml:space="preserve"> Salmon by consumers;</w:t>
      </w:r>
    </w:p>
    <w:p>
      <w:pPr>
        <w:spacing w:after="0" w:line="11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resources, time and cost required to develop new and complimentary products;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legal activities and regulatory filings.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Until such time, if ever, as we can generate positive operating cash flows, we may finance our cash needs through a combination of equity offerings, debt financings, government or other third-party funding, strategic alliances and licensing arrangements.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may have to relinquish valuable rights to our technologies, future revenue streams, research programs or product candidates or to grant licenses on terms that may not be favorable to us.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or SEC, rules.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at December 31, 2013 and the effects such obligations are expected to have on our liquidity and cash flows in future periods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More than</w:t>
            </w:r>
          </w:p>
        </w:tc>
      </w:tr>
      <w:tr>
        <w:trPr>
          <w:trHeight w:val="175"/>
        </w:trPr>
        <w:tc>
          <w:tcPr>
            <w:tcW w:w="572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3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3-5 years</w:t>
            </w:r>
          </w:p>
        </w:tc>
        <w:tc>
          <w:tcPr>
            <w:tcW w:w="640" w:type="dxa"/>
            <w:vAlign w:val="bottom"/>
          </w:tcPr>
          <w:p>
            <w:pPr>
              <w:spacing w:after="0"/>
              <w:rPr>
                <w:sz w:val="15"/>
                <w:szCs w:val="15"/>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5 years</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Office lease</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Panama site lease</w:t>
            </w: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9"/>
              </w:rPr>
              <w:t>277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119</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Panama site management</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353</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676</w:t>
            </w:r>
          </w:p>
        </w:tc>
        <w:tc>
          <w:tcPr>
            <w:tcW w:w="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6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6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In addition to the obligations in the table above, as of December 31, 2013, we also have the following significant contractual obligations described below:</w:t>
      </w:r>
    </w:p>
    <w:p>
      <w:pPr>
        <w:spacing w:after="0" w:line="102" w:lineRule="exact"/>
        <w:rPr>
          <w:sz w:val="20"/>
          <w:szCs w:val="20"/>
          <w:color w:val="auto"/>
        </w:rPr>
      </w:pPr>
    </w:p>
    <w:p>
      <w:pPr>
        <w:ind w:left="900" w:right="140" w:hanging="325"/>
        <w:spacing w:after="0" w:line="23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January 2009, we were awarded a grant to provide funding of a research and development project from the Atlantic Canada Opportunities Agency, a Canadian government agency. The total amount available under the award is C$2.9 million, which we can claim over a five year period. All amounts claimed must be repaid in the form of a 10% royalty on any products commercialized out of this research and development project until fully paid. As of December 31, 2013, the total amount claimed under the award was C$2.5 million ($2.4 million) and is included in long-term debt in the consolidated balance sheet. This amount is not included in the table above due to the uncertainty of the timing of repayment.</w:t>
      </w:r>
    </w:p>
    <w:p>
      <w:pPr>
        <w:spacing w:after="0" w:line="108" w:lineRule="exact"/>
        <w:rPr>
          <w:rFonts w:ascii="Arial" w:cs="Arial" w:eastAsia="Arial" w:hAnsi="Arial"/>
          <w:sz w:val="18"/>
          <w:szCs w:val="18"/>
          <w:color w:val="auto"/>
        </w:rPr>
      </w:pPr>
    </w:p>
    <w:p>
      <w:pPr>
        <w:ind w:left="900" w:right="20" w:hanging="325"/>
        <w:spacing w:after="0" w:line="23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2013, we entered into the ECC with Intrexon, pursuant to which we are permitted to use Intrexon’s UltraVector</w:t>
      </w:r>
      <w:r>
        <w:rPr>
          <w:rFonts w:ascii="Arial" w:cs="Arial" w:eastAsia="Arial" w:hAnsi="Arial"/>
          <w:sz w:val="15"/>
          <w:szCs w:val="15"/>
          <w:color w:val="auto"/>
        </w:rPr>
        <w:t>®</w:t>
      </w:r>
      <w:r>
        <w:rPr>
          <w:rFonts w:ascii="Arial" w:cs="Arial" w:eastAsia="Arial" w:hAnsi="Arial"/>
          <w:sz w:val="18"/>
          <w:szCs w:val="18"/>
          <w:color w:val="auto"/>
        </w:rPr>
        <w:t xml:space="preserve"> and other technology platforms to develop and commercialize additional genetically modified traits in finfish for human consumption. We agreed under the ECC to pay Intrexon, on a quarterly basis, 16.66% of the gross profits calculated for each developed product. We also agreed to pay Intrexon 50% of the quarterly revenue obtained from a sublicensor in the event of a sublicensing arrangement. In addition, we agreed to reimburse Intrexon for the costs of certain services provided by Intrexon. Amounts required to be paid to Intrexon under the ECC are not included in the table above due to the uncertainty of the timing of payments.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following sections provide quantitative information on our exposure to interest rate risk, stock price risk, and foreign currency exchange risk. We make use of sensitivity analyses which are inherently limited in estimating actual losses in fair value that can occur from changes in market conditions.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primary exposure to market risk is interest rate risk associated with debt financing that we utilize from time to time to fund operations or specific projects. The interest on this debt is usually determined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based on a fixed rate and is contractually set in advance. At June 30, 2014 and December 31, 2013, we did not have any interest-bearing debt instruments on our consolidated balance sheet.</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functional currency is the U.S. Dollar. The functional currency of our Canadian subsidiary is the Canadian Dollar, and the functional currency of our Panama subsidiary is the U.S. Dollar. For the Canadian subsidiary, assets and liabilities are translated at the exchange rates in effect at the balance sheet date, equity accounts are translated at the historical exchange rate and the income statement accounts are translated at the average rate for each period during the year. Net translation gains or losses are adjusted directly to a separate component of other comprehensive loss within stockholders’ equity (deficit).</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primary operations include locations in Massachusetts, Canada and Panama. We lease approximately 1,800 square feet of office space which is used as our corporate headquarters in Maynard, Massachusetts under the term of a three year lease. We lease a demonstration farm for AquAdvantage</w:t>
      </w:r>
      <w:r>
        <w:rPr>
          <w:rFonts w:ascii="Arial" w:cs="Arial" w:eastAsia="Arial" w:hAnsi="Arial"/>
          <w:sz w:val="15"/>
          <w:szCs w:val="15"/>
          <w:color w:val="auto"/>
        </w:rPr>
        <w:t>®</w:t>
      </w:r>
      <w:r>
        <w:rPr>
          <w:rFonts w:ascii="Arial" w:cs="Arial" w:eastAsia="Arial" w:hAnsi="Arial"/>
          <w:sz w:val="18"/>
          <w:szCs w:val="18"/>
          <w:color w:val="auto"/>
        </w:rPr>
        <w:t xml:space="preserve"> Salmon in Panama. And we own an 18,000 square foot hatchery on Price Edward Island, Canada. See “Management’s Discussion and Analysis of Financial Condition and Results of Operations—Contractual Obligations” in Item 2. “Financial Information.”</w:t>
      </w:r>
    </w:p>
    <w:p>
      <w:pPr>
        <w:spacing w:after="0" w:line="19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previously leased a demonstration farm for AquAdvantage</w:t>
      </w:r>
      <w:r>
        <w:rPr>
          <w:rFonts w:ascii="Arial" w:cs="Arial" w:eastAsia="Arial" w:hAnsi="Arial"/>
          <w:sz w:val="15"/>
          <w:szCs w:val="15"/>
          <w:color w:val="auto"/>
        </w:rPr>
        <w:t>®</w:t>
      </w:r>
      <w:r>
        <w:rPr>
          <w:rFonts w:ascii="Arial" w:cs="Arial" w:eastAsia="Arial" w:hAnsi="Arial"/>
          <w:sz w:val="18"/>
          <w:szCs w:val="18"/>
          <w:color w:val="auto"/>
        </w:rPr>
        <w:t xml:space="preserve"> Salmon in Panama. In July 2014, we received notice that the landlord of our farm site in Panama had died. This resulted in the termination of the lease extension that had been executed in June 2013. On August 24, 2014, we entered into a new lease agreement with the heirs to the former landlord. The new lease agreement has a term that expires on August 25, 2014 and provides for the payment of a total fee of $180,000 over the term of the lease, net of $21,600 that we previously paid to a third party on behalf of the landlord.</w:t>
      </w:r>
    </w:p>
    <w:p>
      <w:pPr>
        <w:spacing w:after="0" w:line="332" w:lineRule="exact"/>
        <w:rPr>
          <w:sz w:val="20"/>
          <w:szCs w:val="20"/>
          <w:color w:val="auto"/>
        </w:rPr>
      </w:pPr>
    </w:p>
    <w:p>
      <w:pPr>
        <w:ind w:right="3360"/>
        <w:spacing w:after="0" w:line="372" w:lineRule="auto"/>
        <w:rPr>
          <w:sz w:val="20"/>
          <w:szCs w:val="20"/>
          <w:color w:val="auto"/>
        </w:rPr>
      </w:pPr>
      <w:r>
        <w:rPr>
          <w:rFonts w:ascii="Arial" w:cs="Arial" w:eastAsia="Arial" w:hAnsi="Arial"/>
          <w:sz w:val="18"/>
          <w:szCs w:val="18"/>
          <w:b w:val="1"/>
          <w:bCs w:val="1"/>
          <w:color w:val="auto"/>
        </w:rPr>
        <w:t>ITEM 4. SECURITY OWNERSHIP OF CERTAIN BENEFICIAL OWNERS AND MANAGEMENT Security Ownership of Certain Beneficial Owners and Management</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September 19, 2014, there are 144,537,265 shares of our common stock outstanding. The following table sets forth information regarding beneficial ownership of our share capital as of September 19, 2014 by:</w:t>
      </w:r>
    </w:p>
    <w:p>
      <w:pPr>
        <w:spacing w:after="0" w:line="10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shares of common stock;</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directors and current named executive officers as a group.</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ectPr>
          <w:pgSz w:w="11900" w:h="16838" w:orient="portrait"/>
          <w:cols w:equalWidth="0" w:num="1">
            <w:col w:w="11380"/>
          </w:cols>
          <w:pgMar w:left="240" w:top="459" w:right="279" w:bottom="1440" w:gutter="0" w:footer="0" w:header="0"/>
        </w:sect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Name and address of beneficial owner</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Intrexon Corporation(2)</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222 Lakeview Avenue, Suite 1400</w:t>
      </w:r>
    </w:p>
    <w:p>
      <w:pPr>
        <w:ind w:left="820"/>
        <w:spacing w:after="0"/>
        <w:rPr>
          <w:sz w:val="20"/>
          <w:szCs w:val="20"/>
          <w:color w:val="auto"/>
        </w:rPr>
      </w:pPr>
      <w:r>
        <w:rPr>
          <w:rFonts w:ascii="Arial" w:cs="Arial" w:eastAsia="Arial" w:hAnsi="Arial"/>
          <w:sz w:val="18"/>
          <w:szCs w:val="18"/>
          <w:color w:val="auto"/>
        </w:rPr>
        <w:t>West Palm Beach, Florida 33401</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Alejandro Weinstein (3)</w:t>
      </w:r>
    </w:p>
    <w:p>
      <w:pPr>
        <w:ind w:left="820"/>
        <w:spacing w:after="0" w:line="234" w:lineRule="auto"/>
        <w:rPr>
          <w:sz w:val="20"/>
          <w:szCs w:val="20"/>
          <w:color w:val="auto"/>
        </w:rPr>
      </w:pPr>
      <w:r>
        <w:rPr>
          <w:rFonts w:ascii="Arial" w:cs="Arial" w:eastAsia="Arial" w:hAnsi="Arial"/>
          <w:sz w:val="18"/>
          <w:szCs w:val="18"/>
          <w:color w:val="auto"/>
        </w:rPr>
        <w:t>Avenida Pedro de Valdivia No 295</w:t>
      </w:r>
    </w:p>
    <w:p>
      <w:pPr>
        <w:ind w:left="820"/>
        <w:spacing w:after="0" w:line="235" w:lineRule="auto"/>
        <w:rPr>
          <w:sz w:val="20"/>
          <w:szCs w:val="20"/>
          <w:color w:val="auto"/>
        </w:rPr>
      </w:pPr>
      <w:r>
        <w:rPr>
          <w:rFonts w:ascii="Arial" w:cs="Arial" w:eastAsia="Arial" w:hAnsi="Arial"/>
          <w:sz w:val="18"/>
          <w:szCs w:val="18"/>
          <w:color w:val="auto"/>
        </w:rPr>
        <w:t>Comuna de Providencia</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Ciudad de Santiago Region Metroploitana</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7500524 Chile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 of shares</w:t>
            </w:r>
          </w:p>
        </w:tc>
      </w:tr>
      <w:tr>
        <w:trPr>
          <w:trHeight w:val="175"/>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beneficially owned(1)</w:t>
            </w:r>
          </w:p>
        </w:tc>
        <w:tc>
          <w:tcPr>
            <w:tcW w:w="12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15"/>
                <w:szCs w:val="15"/>
                <w:color w:val="auto"/>
              </w:rPr>
            </w:pPr>
          </w:p>
        </w:tc>
      </w:tr>
      <w:tr>
        <w:trPr>
          <w:trHeight w:val="210"/>
        </w:trPr>
        <w:tc>
          <w:tcPr>
            <w:tcW w:w="1460" w:type="dxa"/>
            <w:vAlign w:val="bottom"/>
          </w:tcPr>
          <w:p>
            <w:pPr>
              <w:jc w:val="right"/>
              <w:spacing w:after="0"/>
              <w:rPr>
                <w:sz w:val="20"/>
                <w:szCs w:val="20"/>
                <w:color w:val="auto"/>
              </w:rPr>
            </w:pPr>
            <w:r>
              <w:rPr>
                <w:rFonts w:ascii="Arial" w:cs="Arial" w:eastAsia="Arial" w:hAnsi="Arial"/>
                <w:sz w:val="18"/>
                <w:szCs w:val="18"/>
                <w:color w:val="auto"/>
              </w:rPr>
              <w:t>86,386,624</w:t>
            </w:r>
          </w:p>
        </w:tc>
        <w:tc>
          <w:tcPr>
            <w:tcW w:w="12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59.77%</w:t>
            </w:r>
          </w:p>
        </w:tc>
      </w:tr>
      <w:tr>
        <w:trPr>
          <w:trHeight w:val="715"/>
        </w:trPr>
        <w:tc>
          <w:tcPr>
            <w:tcW w:w="2680" w:type="dxa"/>
            <w:vAlign w:val="bottom"/>
            <w:gridSpan w:val="2"/>
          </w:tcPr>
          <w:p>
            <w:pPr>
              <w:jc w:val="right"/>
              <w:ind w:right="1220"/>
              <w:spacing w:after="0"/>
              <w:rPr>
                <w:sz w:val="20"/>
                <w:szCs w:val="20"/>
                <w:color w:val="auto"/>
              </w:rPr>
            </w:pPr>
            <w:r>
              <w:rPr>
                <w:rFonts w:ascii="Arial" w:cs="Arial" w:eastAsia="Arial" w:hAnsi="Arial"/>
                <w:sz w:val="18"/>
                <w:szCs w:val="18"/>
                <w:color w:val="auto"/>
              </w:rPr>
              <w:t>22,130,040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-599440</wp:posOffset>
            </wp:positionV>
            <wp:extent cx="666369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-136525</wp:posOffset>
            </wp:positionV>
            <wp:extent cx="666369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spacing w:after="0" w:line="914" w:lineRule="exact"/>
        <w:rPr>
          <w:sz w:val="20"/>
          <w:szCs w:val="20"/>
          <w:color w:val="auto"/>
        </w:rPr>
      </w:pPr>
    </w:p>
    <w:p>
      <w:pPr>
        <w:sectPr>
          <w:pgSz w:w="11900" w:h="16838" w:orient="portrait"/>
          <w:cols w:equalWidth="0" w:num="2">
            <w:col w:w="5880" w:space="720"/>
            <w:col w:w="478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Ronald L. Stotish</w:t>
            </w:r>
          </w:p>
        </w:tc>
        <w:tc>
          <w:tcPr>
            <w:tcW w:w="32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2,370,000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David A. Frank</w:t>
            </w:r>
          </w:p>
        </w:tc>
        <w:tc>
          <w:tcPr>
            <w:tcW w:w="32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666,600</w:t>
            </w:r>
          </w:p>
        </w:tc>
        <w:tc>
          <w:tcPr>
            <w:tcW w:w="1740" w:type="dxa"/>
            <w:vAlign w:val="bottom"/>
          </w:tcPr>
          <w:p>
            <w:pPr>
              <w:jc w:val="right"/>
              <w:ind w:right="135"/>
              <w:spacing w:after="0"/>
              <w:rPr>
                <w:sz w:val="20"/>
                <w:szCs w:val="20"/>
                <w:color w:val="auto"/>
              </w:rPr>
            </w:pPr>
            <w:r>
              <w:rPr>
                <w:rFonts w:ascii="Arial" w:cs="Arial" w:eastAsia="Arial" w:hAnsi="Arial"/>
                <w:sz w:val="15"/>
                <w:szCs w:val="15"/>
                <w:color w:val="auto"/>
              </w:rPr>
              <w:t>*</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Henry C. Clifford</w:t>
            </w:r>
          </w:p>
        </w:tc>
        <w:tc>
          <w:tcPr>
            <w:tcW w:w="3200" w:type="dxa"/>
            <w:vAlign w:val="bottom"/>
            <w:shd w:val="clear" w:color="auto" w:fill="CCEEFF"/>
          </w:tcPr>
          <w:p>
            <w:pPr>
              <w:jc w:val="right"/>
              <w:ind w:right="1070"/>
              <w:spacing w:after="0" w:line="202" w:lineRule="exact"/>
              <w:rPr>
                <w:sz w:val="20"/>
                <w:szCs w:val="20"/>
                <w:color w:val="auto"/>
              </w:rPr>
            </w:pPr>
            <w:r>
              <w:rPr>
                <w:rFonts w:ascii="Arial" w:cs="Arial" w:eastAsia="Arial" w:hAnsi="Arial"/>
                <w:sz w:val="18"/>
                <w:szCs w:val="18"/>
                <w:color w:val="auto"/>
              </w:rPr>
              <w:t>536,600</w:t>
            </w:r>
          </w:p>
        </w:tc>
        <w:tc>
          <w:tcPr>
            <w:tcW w:w="174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Richard J. Clothier</w:t>
            </w:r>
          </w:p>
        </w:tc>
        <w:tc>
          <w:tcPr>
            <w:tcW w:w="3200" w:type="dxa"/>
            <w:vAlign w:val="bottom"/>
          </w:tcPr>
          <w:p>
            <w:pPr>
              <w:jc w:val="right"/>
              <w:ind w:right="1070"/>
              <w:spacing w:after="0" w:line="202" w:lineRule="exact"/>
              <w:rPr>
                <w:sz w:val="20"/>
                <w:szCs w:val="20"/>
                <w:color w:val="auto"/>
              </w:rPr>
            </w:pPr>
            <w:r>
              <w:rPr>
                <w:rFonts w:ascii="Arial" w:cs="Arial" w:eastAsia="Arial" w:hAnsi="Arial"/>
                <w:sz w:val="18"/>
                <w:szCs w:val="18"/>
                <w:color w:val="auto"/>
              </w:rPr>
              <w:t>862,987</w:t>
            </w:r>
          </w:p>
        </w:tc>
        <w:tc>
          <w:tcPr>
            <w:tcW w:w="1740" w:type="dxa"/>
            <w:vAlign w:val="bottom"/>
          </w:tcPr>
          <w:p>
            <w:pPr>
              <w:jc w:val="right"/>
              <w:ind w:right="135"/>
              <w:spacing w:after="0"/>
              <w:rPr>
                <w:sz w:val="20"/>
                <w:szCs w:val="20"/>
                <w:color w:val="auto"/>
              </w:rPr>
            </w:pPr>
            <w:r>
              <w:rPr>
                <w:rFonts w:ascii="Arial" w:cs="Arial" w:eastAsia="Arial" w:hAnsi="Arial"/>
                <w:sz w:val="15"/>
                <w:szCs w:val="15"/>
                <w:color w:val="auto"/>
              </w:rPr>
              <w:t>*</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U. Barton</w:t>
            </w:r>
          </w:p>
        </w:tc>
        <w:tc>
          <w:tcPr>
            <w:tcW w:w="3200" w:type="dxa"/>
            <w:vAlign w:val="bottom"/>
            <w:shd w:val="clear" w:color="auto" w:fill="CCEEFF"/>
          </w:tcPr>
          <w:p>
            <w:pPr>
              <w:jc w:val="right"/>
              <w:ind w:right="117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Christine St.Clare</w:t>
            </w:r>
          </w:p>
        </w:tc>
        <w:tc>
          <w:tcPr>
            <w:tcW w:w="3200" w:type="dxa"/>
            <w:vAlign w:val="bottom"/>
          </w:tcPr>
          <w:p>
            <w:pPr>
              <w:jc w:val="right"/>
              <w:ind w:right="117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L. Huber</w:t>
            </w:r>
          </w:p>
        </w:tc>
        <w:tc>
          <w:tcPr>
            <w:tcW w:w="3200" w:type="dxa"/>
            <w:vAlign w:val="bottom"/>
            <w:shd w:val="clear" w:color="auto" w:fill="CCEEFF"/>
          </w:tcPr>
          <w:p>
            <w:pPr>
              <w:jc w:val="right"/>
              <w:ind w:right="1070"/>
              <w:spacing w:after="0" w:line="202" w:lineRule="exact"/>
              <w:rPr>
                <w:sz w:val="20"/>
                <w:szCs w:val="20"/>
                <w:color w:val="auto"/>
              </w:rPr>
            </w:pPr>
            <w:r>
              <w:rPr>
                <w:rFonts w:ascii="Arial" w:cs="Arial" w:eastAsia="Arial" w:hAnsi="Arial"/>
                <w:sz w:val="18"/>
                <w:szCs w:val="18"/>
                <w:color w:val="auto"/>
              </w:rPr>
              <w:t>807,321</w:t>
            </w:r>
          </w:p>
        </w:tc>
        <w:tc>
          <w:tcPr>
            <w:tcW w:w="174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Thomas R. Kasser.</w:t>
            </w:r>
          </w:p>
        </w:tc>
        <w:tc>
          <w:tcPr>
            <w:tcW w:w="3200" w:type="dxa"/>
            <w:vAlign w:val="bottom"/>
          </w:tcPr>
          <w:p>
            <w:pPr>
              <w:jc w:val="right"/>
              <w:ind w:right="117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Rick Sterling</w:t>
            </w:r>
          </w:p>
        </w:tc>
        <w:tc>
          <w:tcPr>
            <w:tcW w:w="3200" w:type="dxa"/>
            <w:vAlign w:val="bottom"/>
            <w:shd w:val="clear" w:color="auto" w:fill="CCEEFF"/>
          </w:tcPr>
          <w:p>
            <w:pPr>
              <w:jc w:val="right"/>
              <w:ind w:right="117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James C. Turk</w:t>
            </w:r>
          </w:p>
        </w:tc>
        <w:tc>
          <w:tcPr>
            <w:tcW w:w="3200" w:type="dxa"/>
            <w:vAlign w:val="bottom"/>
          </w:tcPr>
          <w:p>
            <w:pPr>
              <w:jc w:val="right"/>
              <w:ind w:right="117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Named executive officers and directors as a group (10</w:t>
            </w:r>
          </w:p>
        </w:tc>
        <w:tc>
          <w:tcPr>
            <w:tcW w:w="3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3"/>
        </w:trPr>
        <w:tc>
          <w:tcPr>
            <w:tcW w:w="55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persons)</w:t>
            </w:r>
          </w:p>
        </w:tc>
        <w:tc>
          <w:tcPr>
            <w:tcW w:w="3200" w:type="dxa"/>
            <w:vAlign w:val="bottom"/>
            <w:shd w:val="clear" w:color="auto" w:fill="CCEEFF"/>
          </w:tcPr>
          <w:p>
            <w:pPr>
              <w:jc w:val="right"/>
              <w:ind w:right="1070"/>
              <w:spacing w:after="0" w:line="203" w:lineRule="exact"/>
              <w:rPr>
                <w:sz w:val="20"/>
                <w:szCs w:val="20"/>
                <w:color w:val="auto"/>
              </w:rPr>
            </w:pPr>
            <w:r>
              <w:rPr>
                <w:rFonts w:ascii="Arial" w:cs="Arial" w:eastAsia="Arial" w:hAnsi="Arial"/>
                <w:sz w:val="18"/>
                <w:szCs w:val="18"/>
                <w:color w:val="auto"/>
              </w:rPr>
              <w:t>5,243,508</w:t>
            </w:r>
          </w:p>
        </w:tc>
        <w:tc>
          <w:tcPr>
            <w:tcW w:w="1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beneficial ownership of less than one percent of the total outstanding shares of our common stock.</w:t>
      </w:r>
    </w:p>
    <w:p>
      <w:pPr>
        <w:ind w:left="460" w:right="300" w:hanging="452"/>
        <w:spacing w:after="0" w:line="23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Numbers of shares does not give effect to the 1-for-10 reverse stock split to be effected immediately following the effective time of this Registration Statement on Form 10. Percentages of shares beneficially owned will not change as a result of the reverse stock split. Amounts include options to purchase shares of our common stock that are exercisable within 60 days on September 19, 2014.</w:t>
      </w:r>
    </w:p>
    <w:p>
      <w:pPr>
        <w:spacing w:after="0" w:line="2"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provided by the definitive proxy statement of Intrexon Corporation filed on April 29, 2014, voting and dispositive power over</w:t>
      </w:r>
    </w:p>
    <w:p>
      <w:pPr>
        <w:ind w:left="460"/>
        <w:spacing w:after="0" w:line="234" w:lineRule="auto"/>
        <w:rPr>
          <w:rFonts w:ascii="Arial" w:cs="Arial" w:eastAsia="Arial" w:hAnsi="Arial"/>
          <w:sz w:val="18"/>
          <w:szCs w:val="18"/>
          <w:color w:val="auto"/>
        </w:rPr>
      </w:pPr>
      <w:r>
        <w:rPr>
          <w:rFonts w:ascii="Arial" w:cs="Arial" w:eastAsia="Arial" w:hAnsi="Arial"/>
          <w:sz w:val="18"/>
          <w:szCs w:val="18"/>
          <w:color w:val="auto"/>
        </w:rPr>
        <w:t>62,450,701 of these shares is held by Randall J. Kirk, including shares held by the following entities over which Mr. Kirk (or an entity over which he exercises exclusive control) exercises exclusive control: 179,199 shares held by ADC 2010, LLC, 101,482 shares held by JPK 2008, LLC, 699,586 shares held by JPK 2009, LLC, 818,461 shares held by JPK 2012, LLC, 5,746,167 shares held by Kapital Joe, LLC, 131,081 shares held by Kellie L. Banks (2009) Long Term Trust, 5,428,401 shares held by Mascara Kaboom, LLC, 102,437 shares held by MGK 2008, LLC, 764,206 shares held by MGK 2009, LLC, 940,426 shares held by MGK 2011, LLC, 1,196,077 shares held by New River Management IV, LP, 22,636,052 shares held by New River Management V, LP, 1,679,578 shares held by NewVa Capital Partners, LP, 13,340,645 shares held by NRM VI Holdings I, LLC, 243,001 shares held by NRM VII Holdings I, LLC, 4,711,852 shares held by R.J. Kirk Declaration of Trust, 678,323 shares held by Third Security Incentive 2010 LLC, 1,356,648 shares held by Third Security Senior Staff 2008 LLC, 178,724 shares held by Third Security Staff 2001 LLC, 1,356,648 shares held by Third Security Staff 2010 LLC, 76,611 shares held by ZSK 2008, LLC, and 73,668 shares held by ZSK 2009, LLC.</w:t>
      </w:r>
    </w:p>
    <w:p>
      <w:pPr>
        <w:spacing w:after="0" w:line="7" w:lineRule="exact"/>
        <w:rPr>
          <w:rFonts w:ascii="Arial" w:cs="Arial" w:eastAsia="Arial" w:hAnsi="Arial"/>
          <w:sz w:val="18"/>
          <w:szCs w:val="18"/>
          <w:color w:val="auto"/>
        </w:rPr>
      </w:pPr>
    </w:p>
    <w:p>
      <w:pPr>
        <w:ind w:left="460" w:right="380" w:hanging="452"/>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includes 311,922 shares of our common stock held by Western Pharmaceuticals and 21,818,118 shares of our common stock held by CFR International SPA. Mr. Weinstein is a controlling shareholder of both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DIRECTORS AND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 as of September 19,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Age</w:t>
            </w:r>
          </w:p>
        </w:tc>
        <w:tc>
          <w:tcPr>
            <w:tcW w:w="6980" w:type="dxa"/>
            <w:vAlign w:val="bottom"/>
          </w:tcPr>
          <w:p>
            <w:pPr>
              <w:ind w:left="312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J. Clothier</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w:t>
            </w:r>
          </w:p>
        </w:tc>
        <w:tc>
          <w:tcPr>
            <w:tcW w:w="320" w:type="dxa"/>
            <w:vAlign w:val="bottom"/>
          </w:tcPr>
          <w:p>
            <w:pPr>
              <w:spacing w:after="0"/>
              <w:rPr>
                <w:sz w:val="16"/>
                <w:szCs w:val="16"/>
                <w:color w:val="auto"/>
              </w:rPr>
            </w:pPr>
          </w:p>
        </w:tc>
        <w:tc>
          <w:tcPr>
            <w:tcW w:w="6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Richard L Huber</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77</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Thomas R. Kasser, Ph.D.</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59</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Rick Sterling</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Christine St.Clare</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64</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James C. Turk</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Ronald L. Stotish</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65</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Director, Chief Executive Officer and President</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David A. Frank</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54</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Chief Financial Officer, Treasurer and Secretary</w:t>
            </w:r>
          </w:p>
        </w:tc>
      </w:tr>
      <w:tr>
        <w:trPr>
          <w:trHeight w:val="203"/>
        </w:trPr>
        <w:tc>
          <w:tcPr>
            <w:tcW w:w="3840" w:type="dxa"/>
            <w:vAlign w:val="bottom"/>
            <w:gridSpan w:val="3"/>
          </w:tcPr>
          <w:p>
            <w:pPr>
              <w:spacing w:after="0" w:line="202" w:lineRule="exact"/>
              <w:rPr>
                <w:sz w:val="20"/>
                <w:szCs w:val="20"/>
                <w:color w:val="auto"/>
              </w:rPr>
            </w:pPr>
            <w:r>
              <w:rPr>
                <w:rFonts w:ascii="Arial" w:cs="Arial" w:eastAsia="Arial" w:hAnsi="Arial"/>
                <w:sz w:val="18"/>
                <w:szCs w:val="18"/>
                <w:color w:val="auto"/>
              </w:rPr>
              <w:t>Alejandro Rojas</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52</w:t>
            </w: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Chief Operating Officer, AquaBounty Farms</w:t>
            </w:r>
          </w:p>
        </w:tc>
      </w:tr>
      <w:tr>
        <w:trPr>
          <w:trHeight w:val="217"/>
        </w:trPr>
        <w:tc>
          <w:tcPr>
            <w:tcW w:w="3840" w:type="dxa"/>
            <w:vAlign w:val="bottom"/>
            <w:gridSpan w:val="3"/>
          </w:tcPr>
          <w:p>
            <w:pPr>
              <w:spacing w:after="0"/>
              <w:rPr>
                <w:sz w:val="20"/>
                <w:szCs w:val="20"/>
                <w:color w:val="auto"/>
              </w:rPr>
            </w:pPr>
            <w:r>
              <w:rPr>
                <w:rFonts w:ascii="Arial" w:cs="Arial" w:eastAsia="Arial" w:hAnsi="Arial"/>
                <w:sz w:val="18"/>
                <w:szCs w:val="18"/>
                <w:color w:val="auto"/>
              </w:rPr>
              <w:t>Henry C. Clifford</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6980" w:type="dxa"/>
            <w:vAlign w:val="bottom"/>
          </w:tcPr>
          <w:p>
            <w:pPr>
              <w:spacing w:after="0"/>
              <w:rPr>
                <w:sz w:val="20"/>
                <w:szCs w:val="20"/>
                <w:color w:val="auto"/>
              </w:rPr>
            </w:pPr>
            <w:r>
              <w:rPr>
                <w:rFonts w:ascii="Arial" w:cs="Arial" w:eastAsia="Arial" w:hAnsi="Arial"/>
                <w:sz w:val="18"/>
                <w:szCs w:val="18"/>
                <w:color w:val="auto"/>
              </w:rPr>
              <w:t>VP Marketing &amp; Sales</w:t>
            </w:r>
          </w:p>
        </w:tc>
      </w:tr>
    </w:tbl>
    <w:p>
      <w:pPr>
        <w:spacing w:after="0" w:line="20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directors are elected for a one-year term to hold office until the next annual general meeting of our shareholders or until removed from office in accordance with our Amended and Restated Bylaws. Our executive officers are elected by our Board of Directors and hold office until removed by the Board of Directors, and until their successors have been duly elected and qualified or until their earlier resignation, retirement, removal or death.</w:t>
      </w:r>
    </w:p>
    <w:p>
      <w:pPr>
        <w:spacing w:after="0" w:line="184"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 xml:space="preserve">Richard J. Clothier. </w:t>
      </w:r>
      <w:r>
        <w:rPr>
          <w:rFonts w:ascii="Arial" w:cs="Arial" w:eastAsia="Arial" w:hAnsi="Arial"/>
          <w:sz w:val="18"/>
          <w:szCs w:val="18"/>
          <w:color w:val="auto"/>
        </w:rPr>
        <w:t>Mr. Clothier has served as Chairman of the Board of Directors of AquaBounty since April 2006. Mr. Clothier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Chairman of Robinson Plc since 2004, of Spearhead International Ltd since 2005 and of Exosect since 2013. He retired as Group Chief Executive of PGI Group Plc, an international agricultural products producer, following 20 years with Dalgety Plc where he was chief executive officer of the genetics firm Pig Improvement Company until 1992 and then Group Chief Executive Officer until 1997. He holds a Bachelor of Science in Agriculture from Natal University and an Advanced Management Program degree from Harvard Business School. Mr. Clothier’s extensive experience, both as an executive in the food industry and as a director of public and private companies, provides considerable operating, strategic and policy knowledge to our Board of Directors.</w:t>
      </w:r>
    </w:p>
    <w:p>
      <w:pPr>
        <w:spacing w:after="0" w:line="18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Richard L. Huber. </w:t>
      </w:r>
      <w:r>
        <w:rPr>
          <w:rFonts w:ascii="Arial" w:cs="Arial" w:eastAsia="Arial" w:hAnsi="Arial"/>
          <w:sz w:val="18"/>
          <w:szCs w:val="18"/>
          <w:color w:val="auto"/>
        </w:rPr>
        <w:t>Mr. Huber joined the Board of Directors of AquaBounty after our public offering in 2006. Mr. Huber is the former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Aetna, a major U.S. health insurer, and is currently an independent investor in a number of companies operating in a wide range of businesses, mainly in South America. Following a 40 year career in the financial services industry, Mr. Huber now serves as a director of two private companies in Chile, Vina San Rafael and Invina, SA. He holds a Bachelor of Arts in Chemistry from Harvard. Mr. Huber brings unique knowledge and experience in strategic planning, organizational leadership, accounting, legal and governmental affairs to our Board of Directors.</w:t>
      </w:r>
    </w:p>
    <w:p>
      <w:pPr>
        <w:spacing w:after="0" w:line="18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Thomas R. Kasser, </w:t>
      </w:r>
      <w:r>
        <w:rPr>
          <w:rFonts w:ascii="Arial" w:cs="Arial" w:eastAsia="Arial" w:hAnsi="Arial"/>
          <w:sz w:val="18"/>
          <w:szCs w:val="18"/>
          <w:color w:val="auto"/>
        </w:rPr>
        <w:t>Ph.D. Dr. Kasser joined the Board of Directors of AquaBounty in February 2013. He is the President of the Animal Sciences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Agricultural Biotechnology Divisions and a Senior Vice President at Intrexon Corporation. Dr. Kasser brings over 25 years of business management experience in the biotechnology and life sciences industries. He was most recently President and Chief Executive Officer of Angionics, Inc., an early-stage biotech company focused on novel anti-angiogenic technology directed at therapies for cancer and ocular diseases. Prior to Angionics, he was a Covance Corporate Vice President and General Manager of Covance Research Products. Dr. Kasser had over 20 years of experience at Monsanto Company both in commercial as well as scientific leadership roles,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including tenures as General Manager of Monsanto Choice Genetics, directing new product development for the nutrition and consumer products business, and managing clinical safety and efficacy trials under the jurisdiction of the FDA Center for Veterinary Medicine. Dr. Kasser was designated a Monsanto Fellow in recognition of his scientific and technical excellence. Dr. Kasser received his Ph.D. in Nutrition from the University of Georgia and a Masters in Animal Nutrition from the Pennsylvania State University. He also received a Masters of Business Administration from Washington University—St. Louis. Mr. Kasser’s knowledge of our industry and his research and executive leadership experience make him well qualified to serve as a director.</w:t>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Christine St.Clare</w:t>
      </w:r>
      <w:r>
        <w:rPr>
          <w:rFonts w:ascii="Arial" w:cs="Arial" w:eastAsia="Arial" w:hAnsi="Arial"/>
          <w:sz w:val="18"/>
          <w:szCs w:val="18"/>
          <w:color w:val="auto"/>
        </w:rPr>
        <w:t>. Ms. St.Clare joined the Board of Directors of AquaBounty in May 2014. She retired as a partner of KPMG LLP in 2010,</w:t>
      </w:r>
      <w:r>
        <w:rPr>
          <w:rFonts w:ascii="Arial" w:cs="Arial" w:eastAsia="Arial" w:hAnsi="Arial"/>
          <w:sz w:val="18"/>
          <w:szCs w:val="18"/>
          <w:i w:val="1"/>
          <w:iCs w:val="1"/>
          <w:color w:val="auto"/>
        </w:rPr>
        <w:t xml:space="preserve"> </w:t>
      </w:r>
      <w:r>
        <w:rPr>
          <w:rFonts w:ascii="Arial" w:cs="Arial" w:eastAsia="Arial" w:hAnsi="Arial"/>
          <w:sz w:val="18"/>
          <w:szCs w:val="18"/>
          <w:color w:val="auto"/>
        </w:rPr>
        <w:t>where she worked for a total of 35 years. While at KPMG, Ms. St.Clare worked as an Audit Partner serving publicly-held companies until 2005 when she transferred to the Advisory Practice, serving in the Internal Audit, Risk and Compliance practice until her retirement. She currently serves on the boards of Polymer Group, Inc., a global manufacturer of engineered materials, and of Fibrocell Science, Inc., a company that specializes in the development of personalized biologics, and has held both of these board positions since 2013. Ms. St.Clare has a Bachelor of Science from California State University at Long Beach and has been a licensed Certified Public Accountant in California, Texas and Georgia. Ms. St.Clare’s background in accounting and support of publicly-held companies, as well as her experience with biotechnology, makes her well suited for service on our Board of Directors.</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Rick Sterling. </w:t>
      </w:r>
      <w:r>
        <w:rPr>
          <w:rFonts w:ascii="Arial" w:cs="Arial" w:eastAsia="Arial" w:hAnsi="Arial"/>
          <w:sz w:val="18"/>
          <w:szCs w:val="18"/>
          <w:color w:val="auto"/>
        </w:rPr>
        <w:t>Mr. Sterling joined the Board of Directors of AquaBounty in September 2013. He is the Chief Financial Officer at Intrexon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Prior to joining Intrexon, he was with KPMG LLP where he worked in the audit practice for over 17 years, with a client base primarily in the healthcare, technology and manufacturing industries. Mr. Sterling’s experience includes serving clients in both the private and public sector, including significant experience with SEC filings and compliance with the Sarbanes-Oxley Act. He has a Bachelor of Science in Accounting and Finance from Virginia Tech and is a licensed Certified Public Accountant. Mr. Sterling’s background in audit and finance, as well as his experience with technology companies, make him well suited for service on our Board of Directors.</w:t>
      </w:r>
    </w:p>
    <w:p>
      <w:pPr>
        <w:spacing w:after="0" w:line="184"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James C. Turk. </w:t>
      </w:r>
      <w:r>
        <w:rPr>
          <w:rFonts w:ascii="Arial" w:cs="Arial" w:eastAsia="Arial" w:hAnsi="Arial"/>
          <w:sz w:val="18"/>
          <w:szCs w:val="18"/>
          <w:color w:val="auto"/>
        </w:rPr>
        <w:t>Mr. Turk joined the Board of Directors of AquaBounty in February 2013. Mr. Turk has served as a partner in the law firm</w:t>
      </w:r>
      <w:r>
        <w:rPr>
          <w:rFonts w:ascii="Arial" w:cs="Arial" w:eastAsia="Arial" w:hAnsi="Arial"/>
          <w:sz w:val="18"/>
          <w:szCs w:val="18"/>
          <w:i w:val="1"/>
          <w:iCs w:val="1"/>
          <w:color w:val="auto"/>
        </w:rPr>
        <w:t xml:space="preserve"> </w:t>
      </w:r>
      <w:r>
        <w:rPr>
          <w:rFonts w:ascii="Arial" w:cs="Arial" w:eastAsia="Arial" w:hAnsi="Arial"/>
          <w:sz w:val="18"/>
          <w:szCs w:val="18"/>
          <w:color w:val="auto"/>
        </w:rPr>
        <w:t>Harrison &amp; Turk, P.C. since 1987, having practiced two years before that with other firms. He has previously served as a member of the board of directors for multiple companies and foundations including Intrexon Corporation, the New River Community College Education Foundation, and the Virginia Student Assistance Authorities. He presently serves as a director of SunTrust Bank, Synchrony Inc., the Virginia Tech Athletic Foundation, and is a member of the Roanoke College President’s advisory board. Mr. Turk received a Bachelor of Arts from Roanoke College and a Juris Doctor from Cumberland School of Law at Samford University. Mr. Turk’s legal background and his experience on multiple boards make him well qualified for service on our Board of Directors.</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Ronald L. Stotish, Ph.D., Chief Executive Officer and President. </w:t>
      </w:r>
      <w:r>
        <w:rPr>
          <w:rFonts w:ascii="Arial" w:cs="Arial" w:eastAsia="Arial" w:hAnsi="Arial"/>
          <w:sz w:val="18"/>
          <w:szCs w:val="18"/>
          <w:color w:val="auto"/>
        </w:rPr>
        <w:t>Dr. Stotish was appointed Executive Director,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AquaBounty in May 2008. He joined AquaBounty in 2006 as Vice-President for Regulatory Affairs and, most recently, was Senior Vice-President for R&amp;D and Regulatory Affairs. Prior to joining AquaBounty, Dr. Stotish was Executive Vice-President for R&amp;D at MetaMorphix, Inc. He has served as Vice-President for Pharmaceutical R&amp;D at Fort Dodge Animal Health and held a variety of positions at American Cyanamid. He began his career in research at Merck &amp; Co. Dr. Stotish has degrees in biochemistry and over 40 years’ experience in the discovery, development and commercialization of new animal health products. Mr. Stotish has a Bachelor of Science degree from Pennsylvania State University and a Masters of Science and a Ph.D. from Rutgers University.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David A. Frank, M.B.A., Chief Financial Officer, Treasurer and Secretary. </w:t>
      </w:r>
      <w:r>
        <w:rPr>
          <w:rFonts w:ascii="Arial" w:cs="Arial" w:eastAsia="Arial" w:hAnsi="Arial"/>
          <w:sz w:val="18"/>
          <w:szCs w:val="18"/>
          <w:color w:val="auto"/>
        </w:rPr>
        <w:t>Mr. Frank was appointed Chief Financial Officer, Treasurer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AquaBounty in October 2007. Previously he served as President and General Manager of TekCel LLC, a subsidiary of Magellan Biosciences, after serving as Magellan’s Chief Financial Officer since the company’s founding in 2004 and as TekCel’s Chief Financial Officer. Mr. Frank has over 30 years of financial management experience, including as Chief Financial Officer of SmartEnergy, an independent energy supplier, as Corporate Controller for Moldflow Corporation, and in financial roles at PerSeptive Biosystems, Inc., Lotus Development Corporation, Apollo Computer, Inc. and Honeywell International, Inc. He has a Bachelor of Science in finance and accounting from Boston College and a Masters of Business Administration from Babson College.</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Alejandro Rojas, D.V.M., Chief Operating Officer, AquaBounty Farms. </w:t>
      </w:r>
      <w:r>
        <w:rPr>
          <w:rFonts w:ascii="Arial" w:cs="Arial" w:eastAsia="Arial" w:hAnsi="Arial"/>
          <w:sz w:val="18"/>
          <w:szCs w:val="18"/>
          <w:color w:val="auto"/>
        </w:rPr>
        <w:t>Mr. Rojas joined AquaBounty as the Chief Operating Officer, AquaBounty</w:t>
      </w:r>
      <w:r>
        <w:rPr>
          <w:rFonts w:ascii="Arial" w:cs="Arial" w:eastAsia="Arial" w:hAnsi="Arial"/>
          <w:sz w:val="18"/>
          <w:szCs w:val="18"/>
          <w:i w:val="1"/>
          <w:iCs w:val="1"/>
          <w:color w:val="auto"/>
        </w:rPr>
        <w:t xml:space="preserve"> </w:t>
      </w:r>
      <w:r>
        <w:rPr>
          <w:rFonts w:ascii="Arial" w:cs="Arial" w:eastAsia="Arial" w:hAnsi="Arial"/>
          <w:sz w:val="18"/>
          <w:szCs w:val="18"/>
          <w:color w:val="auto"/>
        </w:rPr>
        <w:t>Farms in February 2014. He formerly was the Production and Technical Manager for Marine Harvest from 1988 to 2000, where he was responsible for operations and the production of salmonids in Chile. He was also responsible for managing Quality Control Labs, Environmental Programs and Fish Health Programs. Mr. Rojas has a doctorate in Veterinary Medicine and for the past 14 years has been a Technical Advisor and Consultant to numerous global aquaculture and biotech companies working with marine fish, including salmon, seabass, seabream and barramundi. His areas of expertise include benchmarking and market studies, technical and economic analysis for M&amp;A activities, new species development in Latin America, the Middle East and Africa, and consulting on fish production, aquatic health, environment and biosecurity programs to private companies and governments.</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 xml:space="preserve">Henry C. Clifford, Vice President Marketing &amp; Sales. </w:t>
      </w:r>
      <w:r>
        <w:rPr>
          <w:rFonts w:ascii="Arial" w:cs="Arial" w:eastAsia="Arial" w:hAnsi="Arial"/>
          <w:sz w:val="18"/>
          <w:szCs w:val="18"/>
          <w:color w:val="auto"/>
        </w:rPr>
        <w:t>Mr. Clifford was appointed Vice-President of Marketing and Sales of AquaBounty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2005 and is responsible for the commercial deployment of AquaBounty’s product lines. Mr. Clifford is an internationally recognized authority on aquaculture and genetic improvement programs with a career spanning more than 30 years in the industry. He has provided technical services in aquaculture to more than 250 clients in 20 countries. In addition to implementing sales and marketing strategies for the company and overseeing customer relations, Mr. Clifford directs domestic and international field trial evaluations of the company’s products, including the successful introduction and production of AquAdvantage</w:t>
      </w:r>
      <w:r>
        <w:rPr>
          <w:rFonts w:ascii="Arial" w:cs="Arial" w:eastAsia="Arial" w:hAnsi="Arial"/>
          <w:sz w:val="15"/>
          <w:szCs w:val="15"/>
          <w:color w:val="auto"/>
        </w:rPr>
        <w:t>®</w:t>
      </w:r>
      <w:r>
        <w:rPr>
          <w:rFonts w:ascii="Arial" w:cs="Arial" w:eastAsia="Arial" w:hAnsi="Arial"/>
          <w:sz w:val="18"/>
          <w:szCs w:val="18"/>
          <w:color w:val="auto"/>
        </w:rPr>
        <w:t xml:space="preserve"> Salmon in Panama. Mr. Clifford has a Bachelor of Arts from the University of Virginia and a Masters of Science in aquaculture from Texas A&amp;M University.</w:t>
      </w:r>
    </w:p>
    <w:p>
      <w:pPr>
        <w:spacing w:after="0" w:line="33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and director compensation program, including the function and design of our equity incentive programs. We have begun, and we expect to continue in the coming months, to evaluate the need for revisions to our executive compensation program to ensure our program is competitive with the companies with which we compete for executive talent and is appropriate for a public company.</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tables and discussion below present compensation information for our chief executive officer and our two other most highly compensated officers for the year ended December 31, 2013, whom we refer to collectively as our named executive officers. These officers are:</w:t>
      </w:r>
    </w:p>
    <w:p>
      <w:pPr>
        <w:spacing w:after="0" w:line="10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Ronald L. Stotish, Chief Executive Officer and President;</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David A. Frank, Chief Financial Officer, Treasurer and Secretary;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Henry C. Clifford, Vice President of Marketing and Sales.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following table sets forth the compensation paid or accrued during the fiscal years ended December 31, 2013 and 2012 to our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Non-Equity</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Nonqualified</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Incentive Plan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Deferred</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Awards</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Compensation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 (1)</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(2)</w:t>
            </w: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 (3)</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Earnings ($)</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(4) ($)</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R. Stotish</w:t>
            </w:r>
          </w:p>
        </w:tc>
        <w:tc>
          <w:tcPr>
            <w:tcW w:w="68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color w:val="auto"/>
              </w:rPr>
              <w:t>2013</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315,167</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ind w:left="60"/>
              <w:spacing w:after="0" w:line="183" w:lineRule="exact"/>
              <w:rPr>
                <w:sz w:val="20"/>
                <w:szCs w:val="20"/>
                <w:color w:val="auto"/>
              </w:rPr>
            </w:pPr>
            <w:r>
              <w:rPr>
                <w:rFonts w:ascii="Arial" w:cs="Arial" w:eastAsia="Arial" w:hAnsi="Arial"/>
                <w:sz w:val="16"/>
                <w:szCs w:val="16"/>
                <w:color w:val="auto"/>
                <w:w w:val="98"/>
              </w:rPr>
              <w:t>80,063</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260"/>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760"/>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6,653</w:t>
            </w:r>
          </w:p>
        </w:tc>
        <w:tc>
          <w:tcPr>
            <w:tcW w:w="640" w:type="dxa"/>
            <w:vAlign w:val="bottom"/>
            <w:shd w:val="clear" w:color="auto" w:fill="CCEEFF"/>
          </w:tcPr>
          <w:p>
            <w:pPr>
              <w:ind w:left="60"/>
              <w:spacing w:after="0" w:line="183" w:lineRule="exact"/>
              <w:rPr>
                <w:sz w:val="20"/>
                <w:szCs w:val="20"/>
                <w:color w:val="auto"/>
              </w:rPr>
            </w:pPr>
            <w:r>
              <w:rPr>
                <w:rFonts w:ascii="Arial" w:cs="Arial" w:eastAsia="Arial" w:hAnsi="Arial"/>
                <w:sz w:val="16"/>
                <w:szCs w:val="16"/>
                <w:color w:val="auto"/>
                <w:w w:val="96"/>
              </w:rPr>
              <w:t>401,883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CEO and</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President</w:t>
            </w:r>
          </w:p>
        </w:tc>
        <w:tc>
          <w:tcPr>
            <w:tcW w:w="680" w:type="dxa"/>
            <w:vAlign w:val="bottom"/>
            <w:gridSpan w:val="2"/>
          </w:tcPr>
          <w:p>
            <w:pPr>
              <w:ind w:left="60"/>
              <w:spacing w:after="0"/>
              <w:rPr>
                <w:sz w:val="20"/>
                <w:szCs w:val="20"/>
                <w:color w:val="auto"/>
              </w:rPr>
            </w:pPr>
            <w:r>
              <w:rPr>
                <w:rFonts w:ascii="Arial" w:cs="Arial" w:eastAsia="Arial" w:hAnsi="Arial"/>
                <w:sz w:val="16"/>
                <w:szCs w:val="16"/>
                <w:color w:val="auto"/>
              </w:rPr>
              <w:t>2012</w:t>
            </w:r>
          </w:p>
        </w:tc>
        <w:tc>
          <w:tcPr>
            <w:tcW w:w="640" w:type="dxa"/>
            <w:vAlign w:val="bottom"/>
          </w:tcPr>
          <w:p>
            <w:pPr>
              <w:jc w:val="right"/>
              <w:spacing w:after="0"/>
              <w:rPr>
                <w:sz w:val="20"/>
                <w:szCs w:val="20"/>
                <w:color w:val="auto"/>
              </w:rPr>
            </w:pPr>
            <w:r>
              <w:rPr>
                <w:rFonts w:ascii="Arial" w:cs="Arial" w:eastAsia="Arial" w:hAnsi="Arial"/>
                <w:sz w:val="16"/>
                <w:szCs w:val="16"/>
                <w:color w:val="auto"/>
              </w:rPr>
              <w:t>305,000</w:t>
            </w: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6,467</w:t>
            </w:r>
          </w:p>
        </w:tc>
        <w:tc>
          <w:tcPr>
            <w:tcW w:w="640" w:type="dxa"/>
            <w:vAlign w:val="bottom"/>
          </w:tcPr>
          <w:p>
            <w:pPr>
              <w:ind w:left="60"/>
              <w:spacing w:after="0"/>
              <w:rPr>
                <w:sz w:val="20"/>
                <w:szCs w:val="20"/>
                <w:color w:val="auto"/>
              </w:rPr>
            </w:pPr>
            <w:r>
              <w:rPr>
                <w:rFonts w:ascii="Arial" w:cs="Arial" w:eastAsia="Arial" w:hAnsi="Arial"/>
                <w:sz w:val="16"/>
                <w:szCs w:val="16"/>
                <w:color w:val="auto"/>
                <w:w w:val="96"/>
              </w:rPr>
              <w:t>311,467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 Frank</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2013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226,667</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46,471</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6,579</w:t>
            </w: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279,717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CFO, Treasurer</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and Secretary</w:t>
            </w:r>
          </w:p>
        </w:tc>
        <w:tc>
          <w:tcPr>
            <w:tcW w:w="680" w:type="dxa"/>
            <w:vAlign w:val="bottom"/>
            <w:gridSpan w:val="2"/>
          </w:tcPr>
          <w:p>
            <w:pPr>
              <w:ind w:left="60"/>
              <w:spacing w:after="0"/>
              <w:rPr>
                <w:sz w:val="20"/>
                <w:szCs w:val="20"/>
                <w:color w:val="auto"/>
              </w:rPr>
            </w:pPr>
            <w:r>
              <w:rPr>
                <w:rFonts w:ascii="Arial" w:cs="Arial" w:eastAsia="Arial" w:hAnsi="Arial"/>
                <w:sz w:val="16"/>
                <w:szCs w:val="16"/>
                <w:color w:val="auto"/>
              </w:rPr>
              <w:t>2012</w:t>
            </w:r>
          </w:p>
        </w:tc>
        <w:tc>
          <w:tcPr>
            <w:tcW w:w="640" w:type="dxa"/>
            <w:vAlign w:val="bottom"/>
          </w:tcPr>
          <w:p>
            <w:pPr>
              <w:jc w:val="right"/>
              <w:spacing w:after="0"/>
              <w:rPr>
                <w:sz w:val="20"/>
                <w:szCs w:val="20"/>
                <w:color w:val="auto"/>
              </w:rPr>
            </w:pPr>
            <w:r>
              <w:rPr>
                <w:rFonts w:ascii="Arial" w:cs="Arial" w:eastAsia="Arial" w:hAnsi="Arial"/>
                <w:sz w:val="16"/>
                <w:szCs w:val="16"/>
                <w:color w:val="auto"/>
              </w:rPr>
              <w:t>220,000</w:t>
            </w: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6,392</w:t>
            </w:r>
          </w:p>
        </w:tc>
        <w:tc>
          <w:tcPr>
            <w:tcW w:w="640" w:type="dxa"/>
            <w:vAlign w:val="bottom"/>
          </w:tcPr>
          <w:p>
            <w:pPr>
              <w:ind w:left="60"/>
              <w:spacing w:after="0"/>
              <w:rPr>
                <w:sz w:val="20"/>
                <w:szCs w:val="20"/>
                <w:color w:val="auto"/>
              </w:rPr>
            </w:pPr>
            <w:r>
              <w:rPr>
                <w:rFonts w:ascii="Arial" w:cs="Arial" w:eastAsia="Arial" w:hAnsi="Arial"/>
                <w:sz w:val="16"/>
                <w:szCs w:val="16"/>
                <w:color w:val="auto"/>
                <w:w w:val="96"/>
              </w:rPr>
              <w:t>226,392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 Clifford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2013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216,667</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46,471</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6,500</w:t>
            </w: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269,638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VP Sales and</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Marketing</w:t>
            </w:r>
          </w:p>
        </w:tc>
        <w:tc>
          <w:tcPr>
            <w:tcW w:w="680" w:type="dxa"/>
            <w:vAlign w:val="bottom"/>
            <w:gridSpan w:val="2"/>
          </w:tcPr>
          <w:p>
            <w:pPr>
              <w:ind w:left="60"/>
              <w:spacing w:after="0"/>
              <w:rPr>
                <w:sz w:val="20"/>
                <w:szCs w:val="20"/>
                <w:color w:val="auto"/>
              </w:rPr>
            </w:pPr>
            <w:r>
              <w:rPr>
                <w:rFonts w:ascii="Arial" w:cs="Arial" w:eastAsia="Arial" w:hAnsi="Arial"/>
                <w:sz w:val="16"/>
                <w:szCs w:val="16"/>
                <w:color w:val="auto"/>
              </w:rPr>
              <w:t>2012</w:t>
            </w:r>
          </w:p>
        </w:tc>
        <w:tc>
          <w:tcPr>
            <w:tcW w:w="640" w:type="dxa"/>
            <w:vAlign w:val="bottom"/>
          </w:tcPr>
          <w:p>
            <w:pPr>
              <w:jc w:val="right"/>
              <w:spacing w:after="0"/>
              <w:rPr>
                <w:sz w:val="20"/>
                <w:szCs w:val="20"/>
                <w:color w:val="auto"/>
              </w:rPr>
            </w:pPr>
            <w:r>
              <w:rPr>
                <w:rFonts w:ascii="Arial" w:cs="Arial" w:eastAsia="Arial" w:hAnsi="Arial"/>
                <w:sz w:val="16"/>
                <w:szCs w:val="16"/>
                <w:color w:val="auto"/>
              </w:rPr>
              <w:t>210,000</w:t>
            </w: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6,300</w:t>
            </w:r>
          </w:p>
        </w:tc>
        <w:tc>
          <w:tcPr>
            <w:tcW w:w="640" w:type="dxa"/>
            <w:vAlign w:val="bottom"/>
          </w:tcPr>
          <w:p>
            <w:pPr>
              <w:ind w:left="60"/>
              <w:spacing w:after="0"/>
              <w:rPr>
                <w:sz w:val="20"/>
                <w:szCs w:val="20"/>
                <w:color w:val="auto"/>
              </w:rPr>
            </w:pPr>
            <w:r>
              <w:rPr>
                <w:rFonts w:ascii="Arial" w:cs="Arial" w:eastAsia="Arial" w:hAnsi="Arial"/>
                <w:sz w:val="16"/>
                <w:szCs w:val="16"/>
                <w:color w:val="auto"/>
                <w:w w:val="96"/>
              </w:rPr>
              <w:t>216,300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salaries before any employee contributions under our 401(k)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discretionary cash incentive awards paid for performance during the 2013 fiscal year.</w:t>
      </w:r>
    </w:p>
    <w:p>
      <w:pPr>
        <w:spacing w:after="0" w:line="5"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Option Awards included for each individual consists of stock option awards granted under the AquaBounty Technologies 2006 Equity Incentive Plan. The value for each of these awards is its grant date fair value calculated by multiplying the number of shares subject to the award by the fair value of the stock option award on the date such award was granted, computed in accordance with FASB Accounting Standards Codification Topic 718. The following table summarizes the number of stock option awards granted, the grant date and the fair value of the stock option award to calculate the total grant date fair value for the option awards reported. The Fair Value of the stock option grants were measured on the date of the grant using the Black-Scholes calculation. The assumptions included an expected stock price volatility of 160%, a risk-free interest rate of 1.05%, a dividend yield of 0% and an expected life of 5 years.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vMerge w:val="restart"/>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Grant Date</w:t>
            </w: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 of Stock Option Awards</w:t>
            </w:r>
          </w:p>
        </w:tc>
        <w:tc>
          <w:tcPr>
            <w:tcW w:w="84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Per Share Fair Value</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18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R. Stotish</w:t>
            </w:r>
          </w:p>
        </w:tc>
        <w:tc>
          <w:tcPr>
            <w:tcW w:w="7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8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540" w:type="dxa"/>
            <w:vAlign w:val="bottom"/>
            <w:gridSpan w:val="2"/>
          </w:tcPr>
          <w:p>
            <w:pPr>
              <w:spacing w:after="0"/>
              <w:rPr>
                <w:sz w:val="20"/>
                <w:szCs w:val="20"/>
                <w:color w:val="auto"/>
              </w:rPr>
            </w:pPr>
            <w:r>
              <w:rPr>
                <w:rFonts w:ascii="Arial" w:cs="Arial" w:eastAsia="Arial" w:hAnsi="Arial"/>
                <w:sz w:val="16"/>
                <w:szCs w:val="16"/>
                <w:color w:val="auto"/>
              </w:rPr>
              <w:t>D. Frank</w:t>
            </w:r>
          </w:p>
        </w:tc>
        <w:tc>
          <w:tcPr>
            <w:tcW w:w="1760" w:type="dxa"/>
            <w:vAlign w:val="bottom"/>
          </w:tcPr>
          <w:p>
            <w:pPr>
              <w:jc w:val="right"/>
              <w:spacing w:after="0"/>
              <w:rPr>
                <w:sz w:val="20"/>
                <w:szCs w:val="20"/>
                <w:color w:val="auto"/>
              </w:rPr>
            </w:pPr>
            <w:r>
              <w:rPr>
                <w:rFonts w:ascii="Arial" w:cs="Arial" w:eastAsia="Arial" w:hAnsi="Arial"/>
                <w:sz w:val="16"/>
                <w:szCs w:val="16"/>
                <w:color w:val="auto"/>
              </w:rPr>
              <w:t>200,000</w:t>
            </w:r>
          </w:p>
        </w:tc>
        <w:tc>
          <w:tcPr>
            <w:tcW w:w="8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w w:val="99"/>
              </w:rPr>
              <w:t>April 27, 2013</w:t>
            </w:r>
          </w:p>
        </w:tc>
        <w:tc>
          <w:tcPr>
            <w:tcW w:w="13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0.2324</w:t>
            </w:r>
          </w:p>
        </w:tc>
        <w:tc>
          <w:tcPr>
            <w:tcW w:w="8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46,471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 Clifford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840" w:type="dxa"/>
            <w:vAlign w:val="bottom"/>
            <w:shd w:val="clear" w:color="auto" w:fill="CCEEFF"/>
          </w:tcPr>
          <w:p>
            <w:pPr>
              <w:spacing w:after="0"/>
              <w:rPr>
                <w:sz w:val="16"/>
                <w:szCs w:val="16"/>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April 27, 2013</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0.2324</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60"/>
        <w:spacing w:after="0" w:line="246" w:lineRule="auto"/>
        <w:rPr>
          <w:sz w:val="20"/>
          <w:szCs w:val="20"/>
          <w:color w:val="auto"/>
        </w:rPr>
      </w:pPr>
      <w:r>
        <w:rPr>
          <w:rFonts w:ascii="Arial" w:cs="Arial" w:eastAsia="Arial" w:hAnsi="Arial"/>
          <w:sz w:val="16"/>
          <w:szCs w:val="16"/>
          <w:color w:val="auto"/>
        </w:rPr>
        <w:t>The actual value a named executive officer may receive depends on market prices and there can be no assurance that the amounts reflected in the Option Awards column will actually be realized. No gain to a named executive officer is possible without an appreciation in stock value after the date of grant.</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(4)</w:t>
        <w:tab/>
        <w:t>Amounts represent our contributions under our 401(k) plan.</w:t>
      </w:r>
    </w:p>
    <w:p>
      <w:pPr>
        <w:spacing w:after="0" w:line="218" w:lineRule="exact"/>
        <w:rPr>
          <w:sz w:val="20"/>
          <w:szCs w:val="20"/>
          <w:color w:val="auto"/>
        </w:rPr>
      </w:pPr>
    </w:p>
    <w:p>
      <w:pPr>
        <w:jc w:val="both"/>
        <w:ind w:right="40"/>
        <w:spacing w:after="0" w:line="248" w:lineRule="auto"/>
        <w:rPr>
          <w:sz w:val="20"/>
          <w:szCs w:val="20"/>
          <w:color w:val="auto"/>
        </w:rPr>
      </w:pPr>
      <w:r>
        <w:rPr>
          <w:rFonts w:ascii="Arial" w:cs="Arial" w:eastAsia="Arial" w:hAnsi="Arial"/>
          <w:sz w:val="17"/>
          <w:szCs w:val="17"/>
          <w:color w:val="auto"/>
        </w:rPr>
        <w:t>In 2013, we paid base salaries to Dr. Stotish, Mr. Frank and Mr. Clifford of $315,167, $226,667 and $216,667, respectively. As of December 31, 2013, the base salaries of Dr. Stotish, Mr. Frank and Mr. Clifford were $320,250, $230,000 and $220,000, respectively. Base salaries are used to recognize the experience, skills, knowledge and responsibilities required of all of our employees, including our named executive officers.</w:t>
      </w:r>
    </w:p>
    <w:p>
      <w:pPr>
        <w:spacing w:after="0" w:line="2"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Certain of our named executive officers is currently party to an employment agreement that provides for the continuation of certain compensation upon termination of employment. See “—Employment Agreements.”</w:t>
      </w:r>
    </w:p>
    <w:p>
      <w:pPr>
        <w:spacing w:after="0" w:line="197"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Our Board of Directors may, at its discretion, award bonuses to our named executive officers from time to time. We typically establish bonus targets for our named executive officers and evaluate their performance based on the achievement of specified goals and objectives by each individual employee. Our management may propose bonus awards to the Compensation Committee of the Board of Directors primarily based on such achievements. Our Board of Directors makes the final determination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of the eligibility requirements for and the amounts of such bonus awards. For the fiscal year ended December 31, 2013, the bonus award for Dr. Stotish was $80,063, which represents 25% of his base salary, awarded for his achievements in progressing the approval process for AquAdvantage</w:t>
      </w:r>
      <w:r>
        <w:rPr>
          <w:rFonts w:ascii="Arial" w:cs="Arial" w:eastAsia="Arial" w:hAnsi="Arial"/>
          <w:sz w:val="15"/>
          <w:szCs w:val="15"/>
          <w:color w:val="auto"/>
        </w:rPr>
        <w:t>®</w:t>
      </w:r>
      <w:r>
        <w:rPr>
          <w:rFonts w:ascii="Arial" w:cs="Arial" w:eastAsia="Arial" w:hAnsi="Arial"/>
          <w:sz w:val="18"/>
          <w:szCs w:val="18"/>
          <w:color w:val="auto"/>
        </w:rPr>
        <w:t xml:space="preserve"> Salmon with the FDA.</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ownership interests of our executives and our shareholders. In addition, we believe that equity grants with a time-based vesting feature promote executive retention because this feature incentivizes our executive officers to remain in our employment during the vesting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outstanding equity awards to our named executive officers at December 31,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920" w:type="dxa"/>
            <w:vAlign w:val="bottom"/>
            <w:gridSpan w:val="4"/>
          </w:tcPr>
          <w:p>
            <w:pPr>
              <w:jc w:val="center"/>
              <w:ind w:right="300"/>
              <w:spacing w:after="0" w:line="143" w:lineRule="exact"/>
              <w:rPr>
                <w:sz w:val="20"/>
                <w:szCs w:val="20"/>
                <w:color w:val="auto"/>
              </w:rPr>
            </w:pPr>
            <w:r>
              <w:rPr>
                <w:rFonts w:ascii="Arial" w:cs="Arial" w:eastAsia="Arial" w:hAnsi="Arial"/>
                <w:sz w:val="14"/>
                <w:szCs w:val="14"/>
                <w:b w:val="1"/>
                <w:bCs w:val="1"/>
                <w:color w:val="auto"/>
              </w:rPr>
              <w:t>Number of securities underlying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5"/>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unexercised options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6"/>
        </w:trPr>
        <w:tc>
          <w:tcPr>
            <w:tcW w:w="5540" w:type="dxa"/>
            <w:vAlign w:val="bottom"/>
            <w:gridSpan w:val="3"/>
            <w:vMerge w:val="continue"/>
          </w:tcPr>
          <w:p>
            <w:pPr>
              <w:spacing w:after="0"/>
              <w:rPr>
                <w:sz w:val="13"/>
                <w:szCs w:val="13"/>
                <w:color w:val="auto"/>
              </w:rPr>
            </w:pPr>
          </w:p>
        </w:tc>
        <w:tc>
          <w:tcPr>
            <w:tcW w:w="1540" w:type="dxa"/>
            <w:vAlign w:val="bottom"/>
            <w:tcBorders>
              <w:top w:val="single" w:sz="8" w:color="auto"/>
            </w:tcBorders>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Exercisable</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Unexercisable</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Exercise Price</w:t>
            </w:r>
          </w:p>
        </w:tc>
        <w:tc>
          <w:tcPr>
            <w:tcW w:w="10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Stotish</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1,870,000</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06/30/2019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CEO and President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500,000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01/10/2021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 Frank</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450,000</w:t>
            </w: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0.11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06/30/2019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CFO, Treasurer and Secretary</w:t>
            </w:r>
          </w:p>
        </w:tc>
        <w:tc>
          <w:tcPr>
            <w:tcW w:w="15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150,000</w:t>
            </w: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01/10/2021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200,000</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0.25</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04/26/2023</w:t>
            </w:r>
          </w:p>
        </w:tc>
        <w:tc>
          <w:tcPr>
            <w:tcW w:w="0" w:type="dxa"/>
            <w:vAlign w:val="bottom"/>
          </w:tcPr>
          <w:p>
            <w:pPr>
              <w:spacing w:after="0"/>
              <w:rPr>
                <w:sz w:val="1"/>
                <w:szCs w:val="1"/>
                <w:color w:val="auto"/>
              </w:rPr>
            </w:pPr>
          </w:p>
        </w:tc>
      </w:tr>
      <w:tr>
        <w:trPr>
          <w:trHeight w:val="311"/>
        </w:trPr>
        <w:tc>
          <w:tcPr>
            <w:tcW w:w="5540" w:type="dxa"/>
            <w:vAlign w:val="bottom"/>
            <w:gridSpan w:val="3"/>
          </w:tcPr>
          <w:p>
            <w:pPr>
              <w:spacing w:after="0"/>
              <w:rPr>
                <w:sz w:val="20"/>
                <w:szCs w:val="20"/>
                <w:color w:val="auto"/>
              </w:rPr>
            </w:pPr>
            <w:r>
              <w:rPr>
                <w:rFonts w:ascii="Arial" w:cs="Arial" w:eastAsia="Arial" w:hAnsi="Arial"/>
                <w:sz w:val="18"/>
                <w:szCs w:val="18"/>
                <w:color w:val="auto"/>
              </w:rPr>
              <w:t>H. Clifford</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90,000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0.10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05/31/2019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VP Sales and Marketing</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280,000</w:t>
            </w: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0.11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06/30/2019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01/10/2021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200,000</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0.25</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04/26/2023</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Through December 31, 2013, the Chairman of our Board of Directors received annual compensation of £ 40,000 (approximately $66,228 using the pound sterling to U.S. Dollar spot exchange rate of 1.6557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of December 31, 2013), payable in quarterly installments of £10,000 (approximately $16,557). He also received an annual grant of restricted common shares equal to £15,000 (approximately $24,836) (based on the fair market value on the date of grant), with vesting after three years.</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Through December 31, 2013, all non-employee directors, except for directors appointed by Intrexon per the Relationship Agreement described under Item 7, “Certain Relationships and Related Transactions, and Director Independence—Related Person Transactions—Relationship Agreement” received annual compensation of $12,000, payable in quarterly installments of $3,000, and an additional $1,500 per meeting. Board of Directors committee chairs received $5,000 per annum and members of a board committee received $3,000 per annum, both payable quarterly. All non-employee directors, except for directors employed and appointed by Intrexon per the Relationship Agreement, received an annual grant of options to purchase 24,000 shares of our common stock (with an exercise price equal to the fair market value on the date of grant), with vesting after one year.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all compensation provided to the non-employee directors for the most recently completed fiscal year ending</w:t>
      </w:r>
    </w:p>
    <w:p>
      <w:pPr>
        <w:spacing w:after="0"/>
        <w:rPr>
          <w:sz w:val="20"/>
          <w:szCs w:val="20"/>
          <w:color w:val="auto"/>
        </w:rPr>
      </w:pPr>
      <w:r>
        <w:rPr>
          <w:rFonts w:ascii="Arial" w:cs="Arial" w:eastAsia="Arial" w:hAnsi="Arial"/>
          <w:sz w:val="18"/>
          <w:szCs w:val="18"/>
          <w:color w:val="auto"/>
        </w:rPr>
        <w:t>December 31,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Fees</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Earned</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or Paid</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Cash</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80" w:type="dxa"/>
            <w:vAlign w:val="bottom"/>
            <w:gridSpan w:val="2"/>
            <w:vMerge w:val="continue"/>
          </w:tcPr>
          <w:p>
            <w:pPr>
              <w:spacing w:after="0"/>
              <w:rPr>
                <w:sz w:val="15"/>
                <w:szCs w:val="15"/>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Earnings ($)</w:t>
            </w:r>
          </w:p>
        </w:tc>
        <w:tc>
          <w:tcPr>
            <w:tcW w:w="4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Earnings ($)</w:t>
            </w:r>
          </w:p>
        </w:tc>
        <w:tc>
          <w:tcPr>
            <w:tcW w:w="14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Clothier(1)</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4"/>
              </w:rPr>
              <w:t>64,986</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4"/>
              </w:rPr>
              <w:t>22,812</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87,798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T. Barton(2)</w:t>
            </w:r>
          </w:p>
        </w:tc>
        <w:tc>
          <w:tcPr>
            <w:tcW w:w="10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7,788</w:t>
            </w:r>
          </w:p>
        </w:tc>
        <w:tc>
          <w:tcPr>
            <w:tcW w:w="10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Huber</w:t>
            </w:r>
          </w:p>
        </w:tc>
        <w:tc>
          <w:tcPr>
            <w:tcW w:w="10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31,875</w:t>
            </w:r>
          </w:p>
        </w:tc>
        <w:tc>
          <w:tcPr>
            <w:tcW w:w="10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7,788</w:t>
            </w: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39,663</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Dr. T. Kasser(2)</w:t>
            </w:r>
          </w:p>
        </w:tc>
        <w:tc>
          <w:tcPr>
            <w:tcW w:w="10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Sterling(2)</w:t>
            </w:r>
          </w:p>
        </w:tc>
        <w:tc>
          <w:tcPr>
            <w:tcW w:w="10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J. Turk(2)</w:t>
            </w: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7,788</w:t>
            </w:r>
          </w:p>
        </w:tc>
        <w:tc>
          <w:tcPr>
            <w:tcW w:w="10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96,861</w:t>
            </w:r>
          </w:p>
        </w:tc>
        <w:tc>
          <w:tcPr>
            <w:tcW w:w="10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22,812</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23,364</w:t>
            </w: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143,037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900" w:hanging="452"/>
        <w:spacing w:after="0" w:line="23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Clothier’s compensation includes both Board of Directors fees and an annual grant of ordinary shares. Included in his 2013 compensation is a share grant of $22,812.</w:t>
      </w:r>
    </w:p>
    <w:p>
      <w:pPr>
        <w:spacing w:after="0" w:line="1" w:lineRule="exact"/>
        <w:rPr>
          <w:rFonts w:ascii="Arial" w:cs="Arial" w:eastAsia="Arial" w:hAnsi="Arial"/>
          <w:sz w:val="18"/>
          <w:szCs w:val="18"/>
          <w:color w:val="auto"/>
        </w:rPr>
      </w:pPr>
    </w:p>
    <w:p>
      <w:pPr>
        <w:ind w:left="460" w:right="320" w:hanging="452"/>
        <w:spacing w:after="0" w:line="24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Messrs. Barton, Kasser, Sterling and Turk are appointees to our Board of Directors by Intrexon and do not receive cash compensation from AquaBounty at this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formal employment agreements with Dr. Stotish, Dr. Rojas, and Messrs. Frank and Clifford. Each agreement provides for the payment of a base salary, an annual bonus determined at the discretion of our Board of Directors based on achievement of financial targets and other performance criteria and, for Dr. Stotish, a one-time grant of 90,000 stock options.</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Each agreement will remain in effect unless and until terminated in accordance with the terms and conditions set forth in the agreement. Each of Mr. Frank’s and Mr. Clifford’s agreements provide that employment may be terminated by either us or the employee after giving the other not less than 12 months’ notice. Dr. Rojas’ agreement provides that employment may be terminated by us after giving to Dr. Rojas not less than 12 months’ notice, and by Dr. Rojas after giving to us not less than 1 months’ notice. During these respective notice periods, we have the right to terminate employment prior to expiration of the notice period by paying the employee a sum equal to his basic salary and benefits during the notice period. Dr. Stotish’s agreement does not contain termination notice requirements applicable to his current employment.</w:t>
      </w:r>
    </w:p>
    <w:p>
      <w:pPr>
        <w:spacing w:after="0" w:line="20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addition, under each agreement, we may terminate the employee’s employment without notice or payment at any time for cause. For these purposes, “cause” means any of the following:</w:t>
      </w:r>
    </w:p>
    <w:p>
      <w:pPr>
        <w:spacing w:after="0" w:line="102" w:lineRule="exact"/>
        <w:rPr>
          <w:sz w:val="20"/>
          <w:szCs w:val="20"/>
          <w:color w:val="auto"/>
        </w:rPr>
      </w:pPr>
    </w:p>
    <w:p>
      <w:pPr>
        <w:ind w:left="900" w:right="640" w:hanging="325"/>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by the employee of his duties in a manner that is deemed consistently materially unsatisfactory by our Board of Directors in its sole and exclusive discretion;</w:t>
      </w:r>
    </w:p>
    <w:p>
      <w:pPr>
        <w:spacing w:after="0" w:line="102" w:lineRule="exact"/>
        <w:rPr>
          <w:rFonts w:ascii="Arial" w:cs="Arial" w:eastAsia="Arial" w:hAnsi="Arial"/>
          <w:sz w:val="18"/>
          <w:szCs w:val="18"/>
          <w:color w:val="auto"/>
        </w:rPr>
      </w:pPr>
    </w:p>
    <w:p>
      <w:pPr>
        <w:ind w:left="900" w:right="140" w:hanging="325"/>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willful and material failure or refusal by the employee to perform his duties under the employment agreement (other than by reason of the employee’s death or disability);</w:t>
      </w:r>
    </w:p>
    <w:p>
      <w:pPr>
        <w:spacing w:after="0" w:line="102" w:lineRule="exact"/>
        <w:rPr>
          <w:rFonts w:ascii="Arial" w:cs="Arial" w:eastAsia="Arial" w:hAnsi="Arial"/>
          <w:sz w:val="18"/>
          <w:szCs w:val="18"/>
          <w:color w:val="auto"/>
        </w:rPr>
      </w:pPr>
    </w:p>
    <w:p>
      <w:pPr>
        <w:ind w:left="900" w:right="260" w:hanging="325"/>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breaches or nonobservance by the employee of the provisions of the employment agreement or directions of our Board of Directors or of rules issued by a stock exchange on which our securities are listed;</w:t>
      </w:r>
    </w:p>
    <w:p>
      <w:pPr>
        <w:spacing w:after="0" w:line="102" w:lineRule="exact"/>
        <w:rPr>
          <w:rFonts w:ascii="Arial" w:cs="Arial" w:eastAsia="Arial" w:hAnsi="Arial"/>
          <w:sz w:val="18"/>
          <w:szCs w:val="18"/>
          <w:color w:val="auto"/>
        </w:rPr>
      </w:pPr>
    </w:p>
    <w:p>
      <w:pPr>
        <w:ind w:left="900" w:right="8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intentional act of dishonesty, fraud or embezzlement by the employee or the admission or conviction of, or entering a plea of no contest by, the employee with respect to any felony or lesser crime involving moral turpitude, dishonesty, fraud, embezzlement or theft;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220" w:hanging="325"/>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negligence, willful misconduct or personal dishonesty of the employee resulting in a good faith determination by our Board of Directors of a loss to us or a damage to our reputation;</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by the employee to comply with our policies or procedures to a material extent;</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commits any act of deliberate unlawful discrimination or harassment;</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is adjudged bankrupt or enters into any composition or arrangement with or for the benefit of his creditors;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becomes of unsound mind or a patient for the purposes of any law relating to mental health; or</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becomes prohibited by law from being a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agreement also contains confidentiality and noncompetition provisions that we believe are typical for agreements of this type.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and Retirement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AquaBounty Technologies 2006 Equity Incentive Plan</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AquaBounty Technologies 2006 Equity Incentive Plan, as amended, which we refer to as the 2006 Plan, was first adopted by our Board of Directors and our shareholders in June 2007.</w:t>
      </w:r>
    </w:p>
    <w:p>
      <w:pPr>
        <w:spacing w:after="0" w:line="19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2006 Plan provides for the issuance of incentive stock options to our employees and non-qualified stock options and awards of restricted and direct stock purchases to our directors, officers, employees and consultants. In accordance with the terms of the 2006 Plan, the Compensation Committee of the Board of Directors administers the 2006 Plan and, subject to any limitations, approves the recipients of awards and determines, among other things:</w:t>
      </w:r>
    </w:p>
    <w:p>
      <w:pPr>
        <w:spacing w:after="0" w:line="10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those options become exercisable;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prices of options;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of options (subject to certain limitations set forth in the plan);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w:t>
      </w:r>
    </w:p>
    <w:p>
      <w:pPr>
        <w:spacing w:after="0" w:line="117" w:lineRule="exact"/>
        <w:rPr>
          <w:rFonts w:ascii="Arial" w:cs="Arial" w:eastAsia="Arial" w:hAnsi="Arial"/>
          <w:sz w:val="18"/>
          <w:szCs w:val="18"/>
          <w:color w:val="auto"/>
        </w:rPr>
      </w:pPr>
    </w:p>
    <w:p>
      <w:pPr>
        <w:jc w:val="both"/>
        <w:ind w:left="900" w:right="24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any restricted stock awards and the terms and conditions of those awards, including the price, if any, restriction period (subject to certain limitations set forth in the plan) and conditions for repurchase (with respect to restricted stock awards); and</w:t>
      </w:r>
    </w:p>
    <w:p>
      <w:pPr>
        <w:spacing w:after="0" w:line="108" w:lineRule="exact"/>
        <w:rPr>
          <w:rFonts w:ascii="Arial" w:cs="Arial" w:eastAsia="Arial" w:hAnsi="Arial"/>
          <w:sz w:val="18"/>
          <w:szCs w:val="18"/>
          <w:color w:val="auto"/>
        </w:rPr>
      </w:pPr>
    </w:p>
    <w:p>
      <w:pPr>
        <w:jc w:val="both"/>
        <w:ind w:left="900" w:hanging="325"/>
        <w:spacing w:after="0" w:line="275"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our common stock subject to any incentive awards and the terms and conditions of those awards, including the payment terms and award or the dollar amount of any incentive award period (subject to certain limitations set forth in the plan).</w:t>
      </w:r>
    </w:p>
    <w:p>
      <w:pPr>
        <w:spacing w:after="0" w:line="173"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In the event of a change in control, as defined in the 2006 Plan, all awards under the 2006 Plan, subject to the reasonable discretion of the Board of Directors, will become vested and exercisable, restrictions on Restricted Shares and Deferred Shares will lapse and performance targets will be deemed achieved and all other terms and conditions met, and all other awards will be delivered or paid.</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December 31, 2013, there were options to purchase an aggregate of 4,249,000 shares of our common stock outstanding under the 2006 Plan at a weighted-average exercise price of $0.16 per share. As of December 31, 2013, there were 8,281,547 shares of our common stock reserved for future awards under the 2006 Plan.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AquaBounty Technologies 1998 Stock Option Program</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1998, the Board of Directors reserved for issuance shares to be granted pursuant to stock options, which we refer to as the 1998 Program. The 1998 Program provides for the issuance of incentive stock options to our employees and non-qualified stock options to our directors, officers, employees and consultants. As of December 31, 2013, there were options to purchase an aggregate of 2,375,000 shares of our common stock outstanding under the 1998 Program at a weighted-average exercise price of $ 0.40 per share. These options were held by former members of our Board of Directors. As of December 31, 2013, there were no shares of our common stock reserved for future issuance under the 1998 Program. Effective as of the adoption of the 2006 Plan, our Board of Directors ceased making awards under the 1998 Program, and there are no shares of our common stock reserved for future awards under the 1998 Program.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22" w:lineRule="exact"/>
        <w:rPr>
          <w:sz w:val="20"/>
          <w:szCs w:val="20"/>
          <w:color w:val="auto"/>
        </w:rPr>
      </w:pPr>
    </w:p>
    <w:p>
      <w:pPr>
        <w:jc w:val="both"/>
        <w:ind w:right="200"/>
        <w:spacing w:after="0" w:line="234" w:lineRule="auto"/>
        <w:rPr>
          <w:sz w:val="20"/>
          <w:szCs w:val="20"/>
          <w:color w:val="auto"/>
        </w:rPr>
      </w:pPr>
      <w:r>
        <w:rPr>
          <w:rFonts w:ascii="Arial" w:cs="Arial" w:eastAsia="Arial" w:hAnsi="Arial"/>
          <w:sz w:val="18"/>
          <w:szCs w:val="18"/>
          <w:color w:val="auto"/>
        </w:rPr>
        <w:t>We provide an employee retirement plan under Section 401(k) of the Internal Revenue Code of 1986, which we refer to as the 401(k) plan, to all U.S. employees that are eligible employees as defined in the 401(k) plan. Subject to annual limits set by the Internal Revenue Service, we match 50 percent of eligible employee contributions up to a maximum of 3% of an employee’s salary, and vesting in our match is immediate.</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made contributions in connection with the 401(k) plan during the years ended December 31, 2013, 2012 and 2011 of $21,788, $24,851 and $31,860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Retirement Savings Plan</w:t>
      </w:r>
    </w:p>
    <w:p>
      <w:pPr>
        <w:spacing w:after="0" w:line="12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also have a Registered Retirement Savings Plan for our Canadian employees. Subject to annual limits set by the Canadian government, we match 50 percent of eligible employee contributions up to a maximum of 3% of an employee’s salary, and vesting in our match is immediate. We made contributions in connection with this plan during the years ended December 31, 2013, 2012 and 2011 of $14,312, $13,730 and $16,636,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None of our executive officers serves, or in the past has served, as a member of our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also an officer or employee of AquaBounty, nor have they ever been an officer or employee of AquaBounty.</w:t>
      </w:r>
    </w:p>
    <w:p>
      <w:pPr>
        <w:spacing w:after="0" w:line="328" w:lineRule="exact"/>
        <w:rPr>
          <w:sz w:val="20"/>
          <w:szCs w:val="20"/>
          <w:color w:val="auto"/>
        </w:rPr>
      </w:pPr>
    </w:p>
    <w:p>
      <w:pPr>
        <w:ind w:right="2340"/>
        <w:spacing w:after="0" w:line="360" w:lineRule="auto"/>
        <w:rPr>
          <w:sz w:val="20"/>
          <w:szCs w:val="20"/>
          <w:color w:val="auto"/>
        </w:rPr>
      </w:pPr>
      <w:r>
        <w:rPr>
          <w:rFonts w:ascii="Arial" w:cs="Arial" w:eastAsia="Arial" w:hAnsi="Arial"/>
          <w:sz w:val="18"/>
          <w:szCs w:val="18"/>
          <w:b w:val="1"/>
          <w:bCs w:val="1"/>
          <w:color w:val="auto"/>
        </w:rPr>
        <w:t>ITEM 7. CERTAIN RELATIONSHIPS AND RELATED TRANSACTIONS, AND DIRECTOR INDEPENDENCE Related Person Transactions</w:t>
      </w:r>
    </w:p>
    <w:p>
      <w:pPr>
        <w:spacing w:after="0"/>
        <w:rPr>
          <w:sz w:val="20"/>
          <w:szCs w:val="20"/>
          <w:color w:val="auto"/>
        </w:rPr>
      </w:pPr>
      <w:r>
        <w:rPr>
          <w:rFonts w:ascii="Arial" w:cs="Arial" w:eastAsia="Arial" w:hAnsi="Arial"/>
          <w:sz w:val="18"/>
          <w:szCs w:val="18"/>
          <w:b w:val="1"/>
          <w:bCs w:val="1"/>
          <w:i w:val="1"/>
          <w:iCs w:val="1"/>
          <w:color w:val="auto"/>
        </w:rPr>
        <w:t>Exclusive Channel Collaboration Agreement</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February 2013, we entered into the ECC with Intrexon, pursuant to which we are permitted to use Intrexon’s UltraVector</w:t>
      </w:r>
      <w:r>
        <w:rPr>
          <w:rFonts w:ascii="Arial" w:cs="Arial" w:eastAsia="Arial" w:hAnsi="Arial"/>
          <w:sz w:val="15"/>
          <w:szCs w:val="15"/>
          <w:color w:val="auto"/>
        </w:rPr>
        <w:t>®</w:t>
      </w:r>
      <w:r>
        <w:rPr>
          <w:rFonts w:ascii="Arial" w:cs="Arial" w:eastAsia="Arial" w:hAnsi="Arial"/>
          <w:sz w:val="18"/>
          <w:szCs w:val="18"/>
          <w:color w:val="auto"/>
        </w:rPr>
        <w:t xml:space="preserve"> and other technology platforms to develop and commercialize additional genetically modified traits in finfish for human consumption. The ECC grants us a worldwide license to use specified patents and other intellectual property of Intrexon in connection with the research, development, use, importing, manufacture, sale and offer for sale of products involving DNA administered to finfish for human consumption. This license is exclusive with respect to any clinical development, selling, offering for sale or other commercialization of developed products, and otherwise is non-exclusive. Under the ECC and subject to certain exceptions, we are responsible for, among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things, the performance of the program, including development, commercialization and certain aspects of manufacturing developed products. Among other things, Intrexon is responsible for the costs of establishing manufacturing capabilities and facilities for the bulk manufacture of certain products developed under the program, certain other aspects of manufacturing, costs of discovery-stage research with respect to platform improvements and costs of filing, prosecution and maintenance of Intrexon’s patents. We agreed to pay Intrexon, on a quarterly basis, 16.66% of the gross profits calculated for each developed product. We also agreed to pay Intrexon 50% of the quarterly revenue obtained from a sublicensor in the event of a sublicensing arrangement. In addition, we agreed to reimburse Intrexon for the costs of certain services provided by Intrexon. The total Intrexon service costs incurred under the ECC during 2013 were approximately $453 thousand, of which approximately $107 thousand was reflected as an account payable in the consolidated balance sheet as of December 31, 2013. The ECC may be terminated by either us or Intrexon in the event of a material breach by the other. Intrexon may terminate the ECC (a) if we elect not to pursue the development of a “superior animal product” identified by Intrexon or (b) under certain circumstances if we assign our rights under the ECC without Intrexon’s consent. We may voluntarily terminate the ECC at any time upon 90 days’ written notice to Intrexon. Upon termination of the ECC, we may continue to develop and commercialize any collaboration product that, at the time of termination, (x) is being sold by us, (y) has received regulatory approval or (z) is the subject of an application for regulatory approval. Our obligation to pay 16.66% of the gross profits with respect to these “retained” products will survive termination of the ECC.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Agreement</w:t>
      </w:r>
    </w:p>
    <w:p>
      <w:pPr>
        <w:spacing w:after="0" w:line="12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December 2012, we entered into a Relationship Agreement with Intrexon, which we refer to as the Relationship Agreement that sets forth certain matters relating to Intrexon’s relationship with us as a major shareholder. The Relationship Agreement was entered into in connection with the acquisition in October 2012 by Intrexon of shares of our common stock constituting 47.56% of our outstanding share capital from Linnaeus Capital Partners B.V. and Tethys, our former major shareholders.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Pursuant to the Relationship Agreement, we agreed to increase the size of our Board of Directors from three members to six members and to appoint three nominees of Intrexon, referred to as Intrexon Nominees, as directors with terms expiring at the annual meeting of shareholders held on July 10, 2013. Intrexon nominated Messrs. Barton, Kasser and Turk to serve as directors. Each was appointed to our Board of Directors on February 14, 2013. In addition, we agreed that, so long as the Relationship Agreement remains in effect and Intrexon and its affiliates together control 25% or more of the voting rights exercisable at meetings of our shareholders, we will (a) nominate such number of Intrexon Nominees as may be designated by Intrexon for election to our Board of Directors at each annual meeting of our shareholders so that Intrexon will have representation on our Board of Directors proportional to Intrexon’s percentage shareholding and (b) recommend that shareholders vote to elect such Intrexon Nominees at the next annual meeting of shareholders occurring after the date of nomination. Subsequent to entering into the Relationship Agreement, we increased the size of our Board of Directors from six members to seven members and Intrexon nominated Mr. Sterling to fill the Board vacancy. Mr. Sterling was appointed to our Board of Directors on September 13, 2013. On May 30, 2014, Mr. Barton resigned as a director and Intrexon nominated Ms. St.Clare to serve as a director. Our Board of Directors approved and appointed Ms. St.Clare to the Board of Directors on May 30, 2014.</w:t>
      </w:r>
    </w:p>
    <w:p>
      <w:pPr>
        <w:spacing w:after="0" w:line="20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addition, we and Intrexon agreed that, so long as Intrexon and its affiliates control 10% or more of the voting rights exercisable at meetings of our shareholders, for any time period for which Intrexon has reasonably concluded that it is required to consolidate or include our financial statements with its own:</w:t>
      </w:r>
    </w:p>
    <w:p>
      <w:pPr>
        <w:spacing w:after="0" w:line="108" w:lineRule="exact"/>
        <w:rPr>
          <w:sz w:val="20"/>
          <w:szCs w:val="20"/>
          <w:color w:val="auto"/>
        </w:rPr>
      </w:pPr>
    </w:p>
    <w:p>
      <w:pPr>
        <w:ind w:left="900" w:right="180" w:hanging="325"/>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maintain at our principal place of business (i) a copy of our certificate of incorporation and other organizational documents, (ii) a copy of the Relationship Agreement, (iii) copies 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right="360"/>
        <w:spacing w:after="0" w:line="246" w:lineRule="auto"/>
        <w:rPr>
          <w:sz w:val="20"/>
          <w:szCs w:val="20"/>
          <w:color w:val="auto"/>
        </w:rPr>
      </w:pPr>
      <w:r>
        <w:rPr>
          <w:rFonts w:ascii="Arial" w:cs="Arial" w:eastAsia="Arial" w:hAnsi="Arial"/>
          <w:sz w:val="18"/>
          <w:szCs w:val="18"/>
          <w:color w:val="auto"/>
        </w:rPr>
        <w:t>our federal, state and local income tax returns and (iv) minutes of our Board of Director and shareholder meetings, redacted as necessary to exclude sensitive or confidential information;</w:t>
      </w:r>
    </w:p>
    <w:p>
      <w:pPr>
        <w:spacing w:after="0" w:line="10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keep our books and records consistent with U.S. GAAP;</w:t>
      </w:r>
    </w:p>
    <w:p>
      <w:pPr>
        <w:spacing w:after="0" w:line="117" w:lineRule="exact"/>
        <w:rPr>
          <w:rFonts w:ascii="Arial" w:cs="Arial" w:eastAsia="Arial" w:hAnsi="Arial"/>
          <w:sz w:val="18"/>
          <w:szCs w:val="18"/>
          <w:color w:val="auto"/>
        </w:rPr>
      </w:pPr>
    </w:p>
    <w:p>
      <w:pPr>
        <w:jc w:val="both"/>
        <w:ind w:left="900" w:right="400" w:hanging="325"/>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Intrexon may examine any information that it may reasonably request and make copies of and abstracts from our financial and operating records and books of account, and discuss our affairs, finances and accounts with us and our independent auditors;</w:t>
      </w:r>
    </w:p>
    <w:p>
      <w:pPr>
        <w:spacing w:after="0" w:line="102" w:lineRule="exact"/>
        <w:rPr>
          <w:rFonts w:ascii="Arial" w:cs="Arial" w:eastAsia="Arial" w:hAnsi="Arial"/>
          <w:sz w:val="18"/>
          <w:szCs w:val="18"/>
          <w:color w:val="auto"/>
        </w:rPr>
      </w:pPr>
    </w:p>
    <w:p>
      <w:pPr>
        <w:ind w:left="900" w:right="200" w:hanging="325"/>
        <w:spacing w:after="0" w:line="23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soon as available but no later than ninety days after the end of each fiscal year, we will furnish to Intrexon an audited balance sheet, income statement and statements of cash flows and stockholders’ equity as of and for the fiscal year then ended, together with a report of our independent auditor that such financial statements have been prepared in accordance with U.S. GAAP and present fairly, in all material respects, our financial position, results of operation and cash flows;</w:t>
      </w:r>
    </w:p>
    <w:p>
      <w:pPr>
        <w:spacing w:after="0" w:line="107" w:lineRule="exact"/>
        <w:rPr>
          <w:rFonts w:ascii="Arial" w:cs="Arial" w:eastAsia="Arial" w:hAnsi="Arial"/>
          <w:sz w:val="18"/>
          <w:szCs w:val="18"/>
          <w:color w:val="auto"/>
        </w:rPr>
      </w:pPr>
    </w:p>
    <w:p>
      <w:pPr>
        <w:ind w:left="900" w:right="2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soon as available but no later than forty-five days after the end of each calendar quarter, we will furnish to Intrexon an unaudited balance sheet, income statement and statements of cash slows and stockholders’ equity for such period, in each case prepared in accordance with U.S. GAAP; and</w:t>
      </w:r>
    </w:p>
    <w:p>
      <w:pPr>
        <w:spacing w:after="0" w:line="108"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requested by Intrexon but no more than quarterly, we will provide to Intrexon (i) a certificate of our Chief Executive Officer and Chief Financial Officer certifying as to the accuracy of our books and records and the adequacy of our internal control over financial reporting and disclosure controls and procedures and (ii) any information requested by Intrexon for purposes of its compliance with applicable law.</w:t>
      </w:r>
    </w:p>
    <w:p>
      <w:pPr>
        <w:spacing w:after="0" w:line="20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Relationship Agreement and related documents also provide for certain confidentiality obligations between the two parties. The Relationship Agreement will continue in full force and effect until Intrexon and its affiliates cease to control 10% or more of the voting rights exercisable at meetings of our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2012, Intrexon agreed to provide us with a $500,000 bridge loan to help fund operations until permanent financing could be completed. The terms of the loan provided that borrowings could be made in increments of $ 100,000. Outstanding borrowings accrued interest at 3.0% per annum and were required to be repaid with the proceeds of our next fundraising but in any event no later than May 2013. As of December 31, 2012, we had borrowed $200,000 of the available amounts, and during January 2013 and February 2013, we made additional borrowings of $200,000 and $100,000, respectively. The balance under the bridge loan, including $2,567 in accrued interest, was repaid on March 15,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Subscription Agreements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February 14, 2013, we entered into separate subscription agreements with certain of our existing shareholders, including Intrexon and Alejandro Weinstein, another major shareholder, pursuant to which Intrexon and Mr. Weinstein agreed to invest an aggregate of approximately $6.0 million into us by way of a subscription for 22,883,295 new shares or our common stock at a price of $0.2622 per share. Intrexon initially agreed to subscribe for the full amount of the subscription but reduce its participation to a minimum 14,874,142 shares in the event that other eligible shareholders agreed to participate in the subscription. The closing of the subscription occurred on March 15, 2013 and resulted in Intrexon purchasing 18,714,814 shares and Mr. Weinstein purchasing 4,046,682 shares and other investors purchasing a combined 121,799 shares. The subscription price represented the average share price of our common stock on AIM for the 24 trading days prior to and including February 14, 2013, which was the date of the pricing of the subscription.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Subscription Agreement</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March 5, 2014, we entered into a subscription agreement with Intrexon pursuant to which Intrexon agreed to invest approximately $ 10.0 million into us by way of a subscription for 19,040,366 new shares or our common stock at a price of $0.5252 per share. The closing of the subscription occurred on March 20, 2014. The subscription price represented the closing share price of our common stock on AIM on March 4, 2014, which was the last practical date prior to the signing of the subscription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Review of Related Person Transactions</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Board of Directors has adopted a policy with respect to related person transactions. This policy governs the review, approval or ratification of covered related person transactions. The Audit Committee of the Board of Directors manages this policy.</w:t>
      </w:r>
    </w:p>
    <w:p>
      <w:pPr>
        <w:spacing w:after="0" w:line="19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purposes of this policy, a “related person transaction” is a transaction, arrangement or relationship (or any series of similar transactions, arrangements or relationships) in which we (or any of our subsidiaries) were, are or will be a participant, and in which any related person had, has or will have a direct or indirect interest. For purposes of determining whether a transaction is a related person transaction, the Audit Committee relies upon Item 404 of Regulation S-K promulgated under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“related person” is defined as:</w:t>
      </w:r>
    </w:p>
    <w:p>
      <w:pPr>
        <w:spacing w:after="0" w:line="117" w:lineRule="exact"/>
        <w:rPr>
          <w:sz w:val="20"/>
          <w:szCs w:val="20"/>
          <w:color w:val="auto"/>
        </w:rPr>
      </w:pPr>
    </w:p>
    <w:p>
      <w:pPr>
        <w:ind w:left="900" w:right="500" w:hanging="325"/>
        <w:spacing w:after="0" w:line="24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our last fiscal year was, one of our directors or executive officers or a nominee to become one of our directors;</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our voting securities;</w:t>
      </w:r>
    </w:p>
    <w:p>
      <w:pPr>
        <w:spacing w:after="0" w:line="117" w:lineRule="exact"/>
        <w:rPr>
          <w:rFonts w:ascii="Arial" w:cs="Arial" w:eastAsia="Arial" w:hAnsi="Arial"/>
          <w:sz w:val="18"/>
          <w:szCs w:val="18"/>
          <w:color w:val="auto"/>
        </w:rPr>
      </w:pPr>
    </w:p>
    <w:p>
      <w:pPr>
        <w:ind w:left="900" w:right="360" w:hanging="325"/>
        <w:spacing w:after="0" w:line="23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the director, executive officer, nominee or more than five percent beneficial owner and any person (other than a tenant or employee) sharing the household of such director, executive officer, nominee or more than five percent beneficial owner; and</w:t>
      </w:r>
    </w:p>
    <w:p>
      <w:pPr>
        <w:spacing w:after="0" w:line="107" w:lineRule="exact"/>
        <w:rPr>
          <w:rFonts w:ascii="Arial" w:cs="Arial" w:eastAsia="Arial" w:hAnsi="Arial"/>
          <w:sz w:val="18"/>
          <w:szCs w:val="18"/>
          <w:color w:val="auto"/>
        </w:rPr>
      </w:pPr>
    </w:p>
    <w:p>
      <w:pPr>
        <w:ind w:left="900" w:right="300" w:hanging="325"/>
        <w:spacing w:after="0" w:line="24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general partner or principal or in a similar position or in which such person has a ten percent or greater beneficial ownership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policy generally provides that we may enter into a related person transaction only if:</w:t>
      </w:r>
    </w:p>
    <w:p>
      <w:pPr>
        <w:spacing w:after="0" w:line="11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Audit Committee pre-approves such transaction in accordance with the guidelines set forth in the policy;</w:t>
      </w:r>
    </w:p>
    <w:p>
      <w:pPr>
        <w:spacing w:after="0" w:line="117" w:lineRule="exact"/>
        <w:rPr>
          <w:rFonts w:ascii="Arial" w:cs="Arial" w:eastAsia="Arial" w:hAnsi="Arial"/>
          <w:sz w:val="18"/>
          <w:szCs w:val="18"/>
          <w:color w:val="auto"/>
        </w:rPr>
      </w:pPr>
    </w:p>
    <w:p>
      <w:pPr>
        <w:jc w:val="both"/>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is on terms comparable to those that could be obtained in arm’s length dealings with an unrelated third party and the Audit Committee (or the chairperson of the Audit Committee) approves or ratifies such transaction in accordance with the guidelines set forth in the policy;</w:t>
      </w:r>
    </w:p>
    <w:p>
      <w:pPr>
        <w:spacing w:after="0" w:line="108"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is approved by the disinterested members of the Board of Directors; or</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involves compensation approved by the Compensation Committee of the Board of Directors.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the event a related person transaction is not pre -approved by the Audit Committee and our management determines to recommend such related person transaction to the Audit Committee, such transaction must be reviewed and by the Audit Committee. After review, the Audit Committee will approve or disapprove such transaction.</w:t>
      </w:r>
    </w:p>
    <w:p>
      <w:pPr>
        <w:spacing w:after="0" w:line="20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 addition, the Audit Committee will review the policy at least annually and recommend amendments to the policy to the Board of Directors from time to time.</w:t>
      </w:r>
    </w:p>
    <w:p>
      <w:pPr>
        <w:spacing w:after="0" w:line="197"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 policy provides that all related person transactions will be disclosed to the Audit Committee, and all material related person transactions will be disclosed to the Board of Directors. Additionally, all related person transactions requiring public disclosure will be properly disclosed in our public filings.</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Controlled Company Exemption</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required by the NASDAQ listing rules, our Board of Directors will evaluate the independence of its members at least once annually and at other appropriate times when a change in circumstances could potentially impact the independence or effectiveness of one of our directors.</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April and May 2014,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each of Messrs. Clothier, Huber and Turk and Ms. St.Clare is an “independent director” as defined under NASDAQ Listing Rule 5605(a)(2). On May 30, 2014, our Board of Directors determined that Messrs. Huber and Turk and Ms. St.Clare, who will be members of our Audit Committee following our NASDAQ listing, satisfy the special independence standards for such committee established by the SEC and NASDAQ, as applicable, and that Ms. St.Clare is an “audit committee financial expert,” as that term is defined by the SEC in Item 407(d) of Regulation S-K. Shareholders should understand that this designation is an SEC disclosure requirement relating to Ms. St.Clare’s experience and understanding of certain accounting and auditing matters, which the SEC has stated does not impose on the director so designated any additional duty, obligation or liability than otherwise is imposed generally by virtue of serving on the Audit Committee and/or our Board of Directors.</w:t>
      </w:r>
    </w:p>
    <w:p>
      <w:pPr>
        <w:spacing w:after="0" w:line="2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remaining members of our Board of Directors may not satisfy these “independence” definitions because they have been chosen by and/or are affiliated with our controlling shareholder, Intrexon, in a non-independent capacity. Because we are eligible to be a “controlled company” within the meaning of NASDAQ Listing Rule 5615(c) and our Board of Directors has chosen to rely on this exception, we are exempt from certain NASDAQ listing rules that would otherwise require us to have a majority independent board and fully independent standing nominating and compensation committees. We determined that we are such a “controlled company” because Intrexon holds more than 50% of the voting power for the election of our directors. If Intrexon’s voting power were to fall below this level, however, we would cease to be permitted to rely on the controlled company exception and would be required to have a majority independent board and fully independent standing nominating and compensation committees. Our Board of Directors has determined that a board consisting of between six and ten members is appropriate at the current time and has currently set the number at seven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members. Our Board of Directors is currently considering whether to increase the number of members from seven to eight and will continue to evaluate the appropriate size of our Board of Directors from time to time. As of the date of this Registration Statement on Form 10, our Board of Directors has three standing committees: the Audit Committee, the Compensation Committee and the Corporate Governance and Nominations Committee.</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LEGAL PROCEEDINGS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January 16, 2014, an application was filed by Ecology Action Centre and Living Oceans Society with the Canadian Federal Court seeking judicial review to declare invalid the decision by the Canadian Minister of the Environment to publish in the Canada Gazette a SNAN with respect to AquAdvantage</w:t>
      </w:r>
      <w:r>
        <w:rPr>
          <w:rFonts w:ascii="Arial" w:cs="Arial" w:eastAsia="Arial" w:hAnsi="Arial"/>
          <w:sz w:val="15"/>
          <w:szCs w:val="15"/>
          <w:color w:val="auto"/>
        </w:rPr>
        <w:t>®</w:t>
      </w:r>
      <w:r>
        <w:rPr>
          <w:rFonts w:ascii="Arial" w:cs="Arial" w:eastAsia="Arial" w:hAnsi="Arial"/>
          <w:sz w:val="18"/>
          <w:szCs w:val="18"/>
          <w:color w:val="auto"/>
        </w:rPr>
        <w:t xml:space="preserve"> Salmon. The Canadian Minister of the Environment, the Canadian Minister of Health and AquaBounty Canada Inc., our Canadian subsidiary, were listed as respondents on the application. The plaintiffs allege that the Canadian Minister of the Environment inappropriately waived a requirement of the Canadian Environmental Protection Act, or CEPA, to provide certain prescribed information for an assessment under CEPA. The plaintiffs are seeking an order from the court that the minister acted unlawfully and without jurisdiction by publishing notice of the SNAN with respect to AquAdvantage</w:t>
      </w:r>
      <w:r>
        <w:rPr>
          <w:rFonts w:ascii="Arial" w:cs="Arial" w:eastAsia="Arial" w:hAnsi="Arial"/>
          <w:sz w:val="15"/>
          <w:szCs w:val="15"/>
          <w:color w:val="auto"/>
        </w:rPr>
        <w:t>®</w:t>
      </w:r>
      <w:r>
        <w:rPr>
          <w:rFonts w:ascii="Arial" w:cs="Arial" w:eastAsia="Arial" w:hAnsi="Arial"/>
          <w:sz w:val="18"/>
          <w:szCs w:val="18"/>
          <w:color w:val="auto"/>
        </w:rPr>
        <w:t xml:space="preserve"> Salmon in the Canada Gazette, that the SNAN is invalid and unlawful and, in the alternative that the minister acted unreasonably in exercising her discretion.</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than as set forth above, we are not party to any legal proceedings the outcome of which, we believe, if determined adversely to us, would individually or in the aggregate have a material adverse effect on our future business, consolidated results of operations, cash flows or financial position. We may, from time to time, be subject to legal proceedings and claims arising from the normal course of business activities.</w:t>
      </w:r>
    </w:p>
    <w:p>
      <w:pPr>
        <w:spacing w:after="0" w:line="329" w:lineRule="exact"/>
        <w:rPr>
          <w:sz w:val="20"/>
          <w:szCs w:val="20"/>
          <w:color w:val="auto"/>
        </w:rPr>
      </w:pPr>
    </w:p>
    <w:p>
      <w:pPr>
        <w:ind w:left="1040" w:right="740" w:hanging="1025"/>
        <w:spacing w:after="0" w:line="271" w:lineRule="auto"/>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MARKET PRICE OF AND DIVIDENDS ON THE REGISTRANT’S COMMON EQUITY AND RELATED STOCKHOLDER MATTERS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AIM under the symbol “ABTX”. As of June 30, 2014, 144,405,837 shares of our common stock were issued and outstanding. As of June 30, 2014, there were approximately 290 holders of record of our common stock. Our U.K. registrar for our common stock is Capita Registrars Limited and the U.S. transfer agent for our common stock will be Computershare Trust Company, N.A.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following table sets forth the high and low bid prices for our common stock for the periods indicated, as reported by AIM. These prices are as reported by the London Stock Exchange plc. Amounts presented in U.S. dollars reflect the currency exchange rate in effect on the date the price was reported on AIM.</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Price Per Share of Common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Quarterly Period</w:t>
            </w:r>
          </w:p>
        </w:tc>
        <w:tc>
          <w:tcPr>
            <w:tcW w:w="4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Low</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Stock(1)</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High</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Quarter ended March 31, 2012</w:t>
            </w:r>
          </w:p>
        </w:tc>
        <w:tc>
          <w:tcPr>
            <w:tcW w:w="15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£0.0350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0.0536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0.0440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Quarter ended June 30, 2012</w:t>
            </w:r>
          </w:p>
        </w:tc>
        <w:tc>
          <w:tcPr>
            <w:tcW w:w="15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£0.0375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0.0595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color w:val="auto"/>
              </w:rPr>
              <w:t>0.0798</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Quarter ended September 30, 2012</w:t>
            </w:r>
          </w:p>
        </w:tc>
        <w:tc>
          <w:tcPr>
            <w:tcW w:w="15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£0.0538</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0.0870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0.0800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Quarter ended December 31, 2012</w:t>
            </w:r>
          </w:p>
        </w:tc>
        <w:tc>
          <w:tcPr>
            <w:tcW w:w="15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£0.0512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0.0818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color w:val="auto"/>
              </w:rPr>
              <w:t>0.1862</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$0.3005</w:t>
            </w:r>
          </w:p>
        </w:tc>
        <w:tc>
          <w:tcPr>
            <w:tcW w:w="0" w:type="dxa"/>
            <w:vAlign w:val="bottom"/>
          </w:tcPr>
          <w:p>
            <w:pPr>
              <w:spacing w:after="0"/>
              <w:rPr>
                <w:sz w:val="1"/>
                <w:szCs w:val="1"/>
                <w:color w:val="auto"/>
              </w:rPr>
            </w:pPr>
          </w:p>
        </w:tc>
      </w:tr>
      <w:tr>
        <w:trPr>
          <w:trHeight w:val="311"/>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Quarter ended March 31, 2013</w:t>
            </w:r>
          </w:p>
        </w:tc>
        <w:tc>
          <w:tcPr>
            <w:tcW w:w="15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£0.1475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0.2236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color w:val="auto"/>
              </w:rPr>
              <w:t>0.2175</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Quarter ended June 30, 2013</w:t>
            </w:r>
          </w:p>
        </w:tc>
        <w:tc>
          <w:tcPr>
            <w:tcW w:w="15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£0.1525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0.2322</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0.2375</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Quarter ended September 30, 2013</w:t>
            </w:r>
          </w:p>
        </w:tc>
        <w:tc>
          <w:tcPr>
            <w:tcW w:w="15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£0.2175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0.3236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color w:val="auto"/>
              </w:rPr>
              <w:t>0.2425</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$0.3873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Quarter ended December 31, 2013</w:t>
            </w:r>
          </w:p>
        </w:tc>
        <w:tc>
          <w:tcPr>
            <w:tcW w:w="1560" w:type="dxa"/>
            <w:vAlign w:val="bottom"/>
            <w:gridSpan w:val="2"/>
          </w:tcPr>
          <w:p>
            <w:pPr>
              <w:jc w:val="right"/>
              <w:ind w:right="428"/>
              <w:spacing w:after="0"/>
              <w:rPr>
                <w:sz w:val="20"/>
                <w:szCs w:val="20"/>
                <w:color w:val="auto"/>
              </w:rPr>
            </w:pPr>
            <w:r>
              <w:rPr>
                <w:rFonts w:ascii="Arial" w:cs="Arial" w:eastAsia="Arial" w:hAnsi="Arial"/>
                <w:sz w:val="18"/>
                <w:szCs w:val="18"/>
                <w:color w:val="auto"/>
              </w:rPr>
              <w:t>£0.2400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0.3827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0.5050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$0.8302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2014</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Quarter ended March 31, 2013</w:t>
            </w:r>
          </w:p>
        </w:tc>
        <w:tc>
          <w:tcPr>
            <w:tcW w:w="15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£0.3150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0.5192</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0.4950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Quarter ended June 30, 2014</w:t>
            </w:r>
          </w:p>
        </w:tc>
        <w:tc>
          <w:tcPr>
            <w:tcW w:w="15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£0.2050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0.3438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color w:val="auto"/>
              </w:rPr>
              <w:t>0.3150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$0.5345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Period July 1, 2014 through September 19, 2014</w:t>
            </w:r>
          </w:p>
        </w:tc>
        <w:tc>
          <w:tcPr>
            <w:tcW w:w="1560" w:type="dxa"/>
            <w:vAlign w:val="bottom"/>
            <w:gridSpan w:val="2"/>
          </w:tcPr>
          <w:p>
            <w:pPr>
              <w:jc w:val="right"/>
              <w:ind w:right="428"/>
              <w:spacing w:after="0"/>
              <w:rPr>
                <w:sz w:val="20"/>
                <w:szCs w:val="20"/>
                <w:color w:val="auto"/>
              </w:rPr>
            </w:pPr>
            <w:r>
              <w:rPr>
                <w:rFonts w:ascii="Arial" w:cs="Arial" w:eastAsia="Arial" w:hAnsi="Arial"/>
                <w:sz w:val="18"/>
                <w:szCs w:val="18"/>
                <w:color w:val="auto"/>
              </w:rPr>
              <w:t>£0.1750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0.2817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0.2100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$0.3603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figures have not been adjusted to reflect the 1-for-10 reverse stock split to be effected immediately following the effective time of this Registration Statement on Form 10. See Item 11. “Description of Registrant’s Securities to be Registered.” The following table presents such information as adjusted to reflect the 1-for-10 reverse stock split.</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Price Per Share of Common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Quarterly Period</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Low</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Stock(1)</w:t>
            </w: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20" w:type="dxa"/>
            <w:vAlign w:val="bottom"/>
            <w:gridSpan w:val="3"/>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jc w:val="right"/>
              <w:ind w:right="791"/>
              <w:spacing w:after="0" w:line="155" w:lineRule="exact"/>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Quarter ended March 31, 2012</w:t>
            </w:r>
          </w:p>
        </w:tc>
        <w:tc>
          <w:tcPr>
            <w:tcW w:w="1200" w:type="dxa"/>
            <w:vAlign w:val="bottom"/>
          </w:tcPr>
          <w:p>
            <w:pPr>
              <w:jc w:val="right"/>
              <w:ind w:right="531"/>
              <w:spacing w:after="0" w:line="202" w:lineRule="exact"/>
              <w:rPr>
                <w:sz w:val="20"/>
                <w:szCs w:val="20"/>
                <w:color w:val="auto"/>
              </w:rPr>
            </w:pPr>
            <w:r>
              <w:rPr>
                <w:rFonts w:ascii="Arial" w:cs="Arial" w:eastAsia="Arial" w:hAnsi="Arial"/>
                <w:sz w:val="18"/>
                <w:szCs w:val="18"/>
                <w:color w:val="auto"/>
              </w:rPr>
              <w:t>£0.350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0.536</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0.440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Quarter ended June 30, 2012</w:t>
            </w:r>
          </w:p>
        </w:tc>
        <w:tc>
          <w:tcPr>
            <w:tcW w:w="1200" w:type="dxa"/>
            <w:vAlign w:val="bottom"/>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£0.375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0.595</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0.798</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Quarter ended September 30, 2012</w:t>
            </w:r>
          </w:p>
        </w:tc>
        <w:tc>
          <w:tcPr>
            <w:tcW w:w="1200" w:type="dxa"/>
            <w:vAlign w:val="bottom"/>
          </w:tcPr>
          <w:p>
            <w:pPr>
              <w:jc w:val="right"/>
              <w:ind w:right="531"/>
              <w:spacing w:after="0" w:line="202" w:lineRule="exact"/>
              <w:rPr>
                <w:sz w:val="20"/>
                <w:szCs w:val="20"/>
                <w:color w:val="auto"/>
              </w:rPr>
            </w:pPr>
            <w:r>
              <w:rPr>
                <w:rFonts w:ascii="Arial" w:cs="Arial" w:eastAsia="Arial" w:hAnsi="Arial"/>
                <w:sz w:val="18"/>
                <w:szCs w:val="18"/>
                <w:color w:val="auto"/>
              </w:rPr>
              <w:t>£0.538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0.870</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0.800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Quarter ended December 31, 2012</w:t>
            </w:r>
          </w:p>
        </w:tc>
        <w:tc>
          <w:tcPr>
            <w:tcW w:w="1200" w:type="dxa"/>
            <w:vAlign w:val="bottom"/>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£0.512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0.818</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1.862</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31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Quarter ended March 31, 2013</w:t>
            </w:r>
          </w:p>
        </w:tc>
        <w:tc>
          <w:tcPr>
            <w:tcW w:w="1200" w:type="dxa"/>
            <w:vAlign w:val="bottom"/>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£1.475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2.236</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2.175</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Quarter ended June 30, 2013</w:t>
            </w:r>
          </w:p>
        </w:tc>
        <w:tc>
          <w:tcPr>
            <w:tcW w:w="1200" w:type="dxa"/>
            <w:vAlign w:val="bottom"/>
          </w:tcPr>
          <w:p>
            <w:pPr>
              <w:jc w:val="right"/>
              <w:ind w:right="531"/>
              <w:spacing w:after="0" w:line="202" w:lineRule="exact"/>
              <w:rPr>
                <w:sz w:val="20"/>
                <w:szCs w:val="20"/>
                <w:color w:val="auto"/>
              </w:rPr>
            </w:pPr>
            <w:r>
              <w:rPr>
                <w:rFonts w:ascii="Arial" w:cs="Arial" w:eastAsia="Arial" w:hAnsi="Arial"/>
                <w:sz w:val="18"/>
                <w:szCs w:val="18"/>
                <w:color w:val="auto"/>
              </w:rPr>
              <w:t>£1.525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2.322</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2.375</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Quarter ended September 30, 2013</w:t>
            </w:r>
          </w:p>
        </w:tc>
        <w:tc>
          <w:tcPr>
            <w:tcW w:w="1200" w:type="dxa"/>
            <w:vAlign w:val="bottom"/>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£2.175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3.236</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Quarter ended December 31, 2013</w:t>
            </w: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£2.400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3.827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5.050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2014</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Quarter ended March 31, 2013</w:t>
            </w:r>
          </w:p>
        </w:tc>
        <w:tc>
          <w:tcPr>
            <w:tcW w:w="1200" w:type="dxa"/>
            <w:vAlign w:val="bottom"/>
          </w:tcPr>
          <w:p>
            <w:pPr>
              <w:jc w:val="right"/>
              <w:ind w:right="531"/>
              <w:spacing w:after="0" w:line="202" w:lineRule="exact"/>
              <w:rPr>
                <w:sz w:val="20"/>
                <w:szCs w:val="20"/>
                <w:color w:val="auto"/>
              </w:rPr>
            </w:pPr>
            <w:r>
              <w:rPr>
                <w:rFonts w:ascii="Arial" w:cs="Arial" w:eastAsia="Arial" w:hAnsi="Arial"/>
                <w:sz w:val="18"/>
                <w:szCs w:val="18"/>
                <w:color w:val="auto"/>
              </w:rPr>
              <w:t>£3.150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5.192</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4.950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Quarter ended June 30, 2014</w:t>
            </w:r>
          </w:p>
        </w:tc>
        <w:tc>
          <w:tcPr>
            <w:tcW w:w="1200" w:type="dxa"/>
            <w:vAlign w:val="bottom"/>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£2.050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3.438</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Period July 1, 2014 through September 19, 2014</w:t>
            </w: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£1.750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See Item 4. “Security Ownership of Certain Beneficial Owners and Management” for disclosure regarding the holders of our common stock.</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of Directors deems relevant.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reserved the following number of securities for issuance under the 2006 Plan and the 1998 Program as of December 31,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Weighted-average</w:t>
            </w:r>
          </w:p>
        </w:tc>
        <w:tc>
          <w:tcPr>
            <w:tcW w:w="10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Number of securities to be</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0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issued upon exercise of</w:t>
            </w:r>
          </w:p>
        </w:tc>
        <w:tc>
          <w:tcPr>
            <w:tcW w:w="16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rPr>
              <w:t>outstanding</w:t>
            </w:r>
          </w:p>
        </w:tc>
        <w:tc>
          <w:tcPr>
            <w:tcW w:w="10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62"/>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outstanding options,</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options, warrants</w:t>
            </w:r>
          </w:p>
        </w:tc>
        <w:tc>
          <w:tcPr>
            <w:tcW w:w="10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75"/>
        </w:trPr>
        <w:tc>
          <w:tcPr>
            <w:tcW w:w="4800" w:type="dxa"/>
            <w:vAlign w:val="bottom"/>
            <w:gridSpan w:val="3"/>
            <w:vMerge w:val="continue"/>
          </w:tcPr>
          <w:p>
            <w:pPr>
              <w:spacing w:after="0"/>
              <w:rPr>
                <w:sz w:val="15"/>
                <w:szCs w:val="15"/>
                <w:color w:val="auto"/>
              </w:rPr>
            </w:pPr>
          </w:p>
        </w:tc>
        <w:tc>
          <w:tcPr>
            <w:tcW w:w="28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warrants and rights</w:t>
            </w:r>
          </w:p>
        </w:tc>
        <w:tc>
          <w:tcPr>
            <w:tcW w:w="160" w:type="dxa"/>
            <w:vAlign w:val="bottom"/>
          </w:tcPr>
          <w:p>
            <w:pPr>
              <w:spacing w:after="0"/>
              <w:rPr>
                <w:sz w:val="15"/>
                <w:szCs w:val="15"/>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rPr>
              <w:t>and rights</w:t>
            </w:r>
          </w:p>
        </w:tc>
        <w:tc>
          <w:tcPr>
            <w:tcW w:w="10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 security</w:t>
            </w:r>
          </w:p>
        </w:tc>
        <w:tc>
          <w:tcPr>
            <w:tcW w:w="8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holders</w:t>
            </w:r>
          </w:p>
        </w:tc>
        <w:tc>
          <w:tcPr>
            <w:tcW w:w="2820" w:type="dxa"/>
            <w:vAlign w:val="bottom"/>
            <w:gridSpan w:val="2"/>
            <w:shd w:val="clear" w:color="auto" w:fill="CCEEFF"/>
          </w:tcPr>
          <w:p>
            <w:pPr>
              <w:jc w:val="right"/>
              <w:ind w:right="1000"/>
              <w:spacing w:after="0" w:line="203" w:lineRule="exact"/>
              <w:rPr>
                <w:sz w:val="20"/>
                <w:szCs w:val="20"/>
                <w:color w:val="auto"/>
              </w:rPr>
            </w:pPr>
            <w:r>
              <w:rPr>
                <w:rFonts w:ascii="Arial" w:cs="Arial" w:eastAsia="Arial" w:hAnsi="Arial"/>
                <w:sz w:val="18"/>
                <w:szCs w:val="18"/>
                <w:color w:val="auto"/>
              </w:rPr>
              <w:t>4,249,000</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256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8,281,547</w:t>
            </w:r>
          </w:p>
        </w:tc>
        <w:tc>
          <w:tcPr>
            <w:tcW w:w="0" w:type="dxa"/>
            <w:vAlign w:val="bottom"/>
          </w:tcPr>
          <w:p>
            <w:pPr>
              <w:spacing w:after="0"/>
              <w:rPr>
                <w:sz w:val="1"/>
                <w:szCs w:val="1"/>
                <w:color w:val="auto"/>
              </w:rPr>
            </w:pPr>
          </w:p>
        </w:tc>
      </w:tr>
      <w:tr>
        <w:trPr>
          <w:trHeight w:val="310"/>
        </w:trPr>
        <w:tc>
          <w:tcPr>
            <w:tcW w:w="48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0" w:type="dxa"/>
            <w:vAlign w:val="bottom"/>
            <w:gridSpan w:val="3"/>
          </w:tcPr>
          <w:p>
            <w:pPr>
              <w:spacing w:after="0" w:line="203" w:lineRule="exact"/>
              <w:rPr>
                <w:sz w:val="20"/>
                <w:szCs w:val="20"/>
                <w:color w:val="auto"/>
              </w:rPr>
            </w:pPr>
            <w:r>
              <w:rPr>
                <w:rFonts w:ascii="Arial" w:cs="Arial" w:eastAsia="Arial" w:hAnsi="Arial"/>
                <w:sz w:val="18"/>
                <w:szCs w:val="18"/>
                <w:color w:val="auto"/>
              </w:rPr>
              <w:t>security holders</w:t>
            </w:r>
          </w:p>
        </w:tc>
        <w:tc>
          <w:tcPr>
            <w:tcW w:w="2820" w:type="dxa"/>
            <w:vAlign w:val="bottom"/>
            <w:gridSpan w:val="2"/>
          </w:tcPr>
          <w:p>
            <w:pPr>
              <w:jc w:val="right"/>
              <w:ind w:right="1000"/>
              <w:spacing w:after="0" w:line="203" w:lineRule="exact"/>
              <w:rPr>
                <w:sz w:val="20"/>
                <w:szCs w:val="20"/>
                <w:color w:val="auto"/>
              </w:rPr>
            </w:pPr>
            <w:r>
              <w:rPr>
                <w:rFonts w:ascii="Arial" w:cs="Arial" w:eastAsia="Arial" w:hAnsi="Arial"/>
                <w:sz w:val="18"/>
                <w:szCs w:val="18"/>
                <w:color w:val="auto"/>
              </w:rPr>
              <w:t>2,375,000</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0.40</w:t>
            </w:r>
          </w:p>
        </w:tc>
        <w:tc>
          <w:tcPr>
            <w:tcW w:w="1000" w:type="dxa"/>
            <w:vAlign w:val="bottom"/>
          </w:tcPr>
          <w:p>
            <w:pPr>
              <w:spacing w:after="0"/>
              <w:rPr>
                <w:sz w:val="17"/>
                <w:szCs w:val="17"/>
                <w:color w:val="auto"/>
              </w:rPr>
            </w:pPr>
          </w:p>
        </w:tc>
        <w:tc>
          <w:tcPr>
            <w:tcW w:w="1560" w:type="dxa"/>
            <w:vAlign w:val="bottom"/>
            <w:gridSpan w:val="2"/>
          </w:tcPr>
          <w:p>
            <w:pPr>
              <w:ind w:left="1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8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6,624,000</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0.25</w:t>
            </w:r>
          </w:p>
        </w:tc>
        <w:tc>
          <w:tcPr>
            <w:tcW w:w="25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8,281,547</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RECENT SALES OF UNREGISTERED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2011:</w:t>
      </w:r>
    </w:p>
    <w:p>
      <w:pPr>
        <w:spacing w:after="0" w:line="117" w:lineRule="exact"/>
        <w:rPr>
          <w:sz w:val="20"/>
          <w:szCs w:val="20"/>
          <w:color w:val="auto"/>
        </w:rPr>
      </w:pPr>
    </w:p>
    <w:p>
      <w:pPr>
        <w:ind w:left="900" w:right="160" w:hanging="325"/>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22, 2012, we issued 33,277,870 shares of our common stock to certain of our existing shareholders at a per share price of $0.06, for aggregate consideration of approximately $2,000,000. The net proceeds were used for general corporate purposes.</w:t>
      </w:r>
    </w:p>
    <w:p>
      <w:pPr>
        <w:spacing w:after="0" w:line="102" w:lineRule="exact"/>
        <w:rPr>
          <w:rFonts w:ascii="Arial" w:cs="Arial" w:eastAsia="Arial" w:hAnsi="Arial"/>
          <w:sz w:val="18"/>
          <w:szCs w:val="18"/>
          <w:color w:val="auto"/>
        </w:rPr>
      </w:pPr>
    </w:p>
    <w:p>
      <w:pPr>
        <w:ind w:left="900" w:right="160" w:hanging="325"/>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15, 2013, we issued 22,883,295 shares of our common stock to certain of our existing shareholders at a per share price of $0.26, for aggregate consideration of approximately $6,000,000. The net proceeds were used for general corporate purposes.</w:t>
      </w:r>
    </w:p>
    <w:p>
      <w:pPr>
        <w:spacing w:after="0" w:line="102" w:lineRule="exact"/>
        <w:rPr>
          <w:rFonts w:ascii="Arial" w:cs="Arial" w:eastAsia="Arial" w:hAnsi="Arial"/>
          <w:sz w:val="18"/>
          <w:szCs w:val="18"/>
          <w:color w:val="auto"/>
        </w:rPr>
      </w:pPr>
    </w:p>
    <w:p>
      <w:pPr>
        <w:ind w:left="900" w:right="440" w:hanging="325"/>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20, 2014, we issued 19,040,366 shares of our common stock to Intrexon at a per share price of $0.53, for aggregate consideration of approximately $10,000,000. The net proceeds will be used for general corporate purposes.</w:t>
      </w:r>
    </w:p>
    <w:p>
      <w:pPr>
        <w:spacing w:after="0" w:line="1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of the sales of our common stock referenced above was exempt from the registration requirements of the Securities Act pursuant to the exemptions provided by Section 4(a)(2) of the Securities Act and/or Regulation D and Regulation S under the Securities Act. We did not pay or give, directly or indirectly, any commission or other remuneration, including underwriting discounts or commissions, in connection with any of the sales of our common stock referenced above. The recipients of the shares of our common stock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represented that they had adequate access to information about us. Each of the sales was made without any general solicitation or advertising. With respect to sales exempt from registration pursuant to Regulation S, those sales were made outside of the United State to, and for the account or benefit of, non-U.S. persons.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DESCRIPTION OF REGISTRANT’S SECURITIES TO BE REGISTERED</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description summarizes certain important terms of our capital stock, as they are expected to be in effect immediately following the effective time of this Registration Statement on Form 10. We expect to adopt the Restated Certificate of Incorporation that will become effective immediately prior to the effectiveness of this Registration Statement on Form 10, and this description summarizes the provisions that are expected to be included in such document. The Restated Certificate of Incorporation contemplates a 1-for-10 reverse stock split, which would become effective immediately following the time this Registration Statement on Form 10 becomes effective. Because this description is only a summary, it does not contain all the information that may be important to you. For a complete description of the matters set forth in this section, you should refer to the Restated Certificate of Incorporation and the Amended and Restated Bylaws, forms of which are included as exhibits to this Registration Statement on Form 10.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effectiveness of this Registration Statement on Form 10, our authorized capital stock will consist of:</w:t>
      </w:r>
    </w:p>
    <w:p>
      <w:pPr>
        <w:spacing w:after="0" w:line="11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200,000,000 shares of common stock, par value $0.001 per share;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40,000,000 shares of preferred stock, par value $0.01 par value per share.</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of June 30, 2014, and after giving effect to the reverse stock split as if it had occurred as of that date, there were zero shares of preferred stock and 14,440,583 shares of common stock outstanding. There were 290 holders of record of our shares of our common stock as of June 30, 2014. Our Board of Directors will be authorized to issue additional shares of our capital stock without shareholder approval, except as required by the NASDAQ listing standards.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Subject to preferences that may be applicable to any outstanding shares of our preferred stock, holders of shares of our common stock are entitled to receive ratably such dividends, if any, as our Board of Directors may declare on the common stock out of funds legally available for that purpose.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shareholders. A majority of the votes cast at a meeting of the shareholders by the holders of shares entitled to vote is required for any action by the shareholders except (a) except as otherwise provided by law or the Restated Certificate of Incorporation and (b) that directors are to be elected by a plurality of the votes cast at elections. Holders of shares of our common stock do not have cumulative voting rights in the election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Upon our liquidation, dissolution or winding up, holders of shares of our common stock would be entitled to share ratably in all assets remaining after the payment of all debts and other liabilities and the liquidation preferences of any outstanding shares of our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 of Preferred Stock</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are no shares of preferred stock issued or outstanding. Our Board of Directors may, without further action by our shareholders, from time to time, direct the issuance of shares of preferred stock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one or more series and may, at the time of issuance, determine the rights, preferences and limitations of each series.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our liquidation, dissolution or winding up before any payment is made to the holders of shares of our common stock. Under certain circumstances, the issuance of shares of preferred stock may render more difficult or tend to discourage a merger, tender offer or proxy contest, the assumption of control by a holder of a large block of our securities or the removal of incumbent management. Our Board of Directors may, without shareholder approval, issue shares of preferred stock with voting and conversion rights that could adversely affect the holders of shares of our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Restated Certificate of Incorporation and the Amended and Restated Bylaws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Advance Notice Procedures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Amended and Restated Bylaws establish advance notice procedures for shareholders to make nominations of candidates for election as directors, or bring other business before an annual meeting of its shareholders. These procedures provide that only persons who are nominated by or at the direction of our Board of Directors or by a shareholder who has given timely notice in proper written form that is received at our principal executive offices prior to the applicable annual meeting will be eligible for election as directors. These procedures also require that, in order to raise matters at an annual meeting, those matters be raised before the meeting pursuant to the notice of meeting we deliver or by, or at the direction of, our Board of Directors or by a shareholder who is entitled to vote at the meeting and who has given timely notice in proper written form to our Corporate Secretary of the shareholder’s intention to raise those matters at the annual meeting.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but Unissued Shares</w:t>
      </w:r>
    </w:p>
    <w:p>
      <w:pPr>
        <w:spacing w:after="0" w:line="12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authorized but unissued shares of our common stock are available for future issuance without shareholder approval. We may use these additional shares for a variety of corporate purposes, including future public offerings to raise additional capital, corporate acquisitions and as incentive compensation. The existence of authorized but unissued shares of our common stock could render more difficult or discourage an attempt to obtain control of us by means of a proxy contest, tender offer, merger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U.K. registrar for our common stock is Capita Registrars Limited and the U.S. transfer agent for our common stock will be Computershare Trust Company, N.A.</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INDEMNIFICATION OF DIRECTORS AND OFFICERS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Section 102 of the Delaware General Corporation Law, or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Incorporation provides that none of our directors will be personally liable to us or our stockholders for monetary damages for or with respect to any acts or omissions in the performance of such person’s duties as a director, except to the extent required by law.</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will be made with respect to any claim, issue or matter as to which such person has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deems proper.</w:t>
      </w:r>
    </w:p>
    <w:p>
      <w:pPr>
        <w:spacing w:after="0" w:line="20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Restated Certificate of Incorporation provides that we may indemnify, and advance expenses to, our directors and officers with respect to certain liabilities, expenses and other accounts imposed upon them because of having been a director or officer.</w:t>
      </w:r>
    </w:p>
    <w:p>
      <w:pPr>
        <w:spacing w:after="0" w:line="323" w:lineRule="exact"/>
        <w:rPr>
          <w:sz w:val="20"/>
          <w:szCs w:val="20"/>
          <w:color w:val="auto"/>
        </w:rPr>
      </w:pPr>
    </w:p>
    <w:p>
      <w:pPr>
        <w:ind w:right="5540"/>
        <w:spacing w:after="0" w:line="397" w:lineRule="auto"/>
        <w:rPr>
          <w:sz w:val="20"/>
          <w:szCs w:val="20"/>
          <w:color w:val="auto"/>
        </w:rPr>
      </w:pPr>
      <w:r>
        <w:rPr>
          <w:rFonts w:ascii="Arial" w:cs="Arial" w:eastAsia="Arial" w:hAnsi="Arial"/>
          <w:sz w:val="18"/>
          <w:szCs w:val="18"/>
          <w:b w:val="1"/>
          <w:bCs w:val="1"/>
          <w:color w:val="auto"/>
        </w:rPr>
        <w:t xml:space="preserve">ITEM 13. FINANCIAL STATEMENTS AND SUPPLEMENTARY DATA </w:t>
      </w:r>
      <w:r>
        <w:rPr>
          <w:rFonts w:ascii="Arial" w:cs="Arial" w:eastAsia="Arial" w:hAnsi="Arial"/>
          <w:sz w:val="18"/>
          <w:szCs w:val="18"/>
          <w:color w:val="auto"/>
        </w:rPr>
        <w:t>See Item 15. “Financial Statements and Exhibits.”</w:t>
      </w:r>
    </w:p>
    <w:p>
      <w:pPr>
        <w:spacing w:after="0" w:line="193" w:lineRule="exact"/>
        <w:rPr>
          <w:sz w:val="20"/>
          <w:szCs w:val="20"/>
          <w:color w:val="auto"/>
        </w:rPr>
      </w:pPr>
    </w:p>
    <w:p>
      <w:pPr>
        <w:ind w:right="960"/>
        <w:spacing w:after="0" w:line="397" w:lineRule="auto"/>
        <w:rPr>
          <w:sz w:val="20"/>
          <w:szCs w:val="20"/>
          <w:color w:val="auto"/>
        </w:rPr>
      </w:pPr>
      <w:r>
        <w:rPr>
          <w:rFonts w:ascii="Arial" w:cs="Arial" w:eastAsia="Arial" w:hAnsi="Arial"/>
          <w:sz w:val="18"/>
          <w:szCs w:val="18"/>
          <w:b w:val="1"/>
          <w:bCs w:val="1"/>
          <w:color w:val="auto"/>
        </w:rPr>
        <w:t xml:space="preserve">ITEM 14. CHANGES IN AND DISAGREEMENTS WITH ACCOUNTANTS ON ACCOUNTING AND FINANCIAL DISCLOSURE </w:t>
      </w:r>
      <w:r>
        <w:rPr>
          <w:rFonts w:ascii="Arial" w:cs="Arial" w:eastAsia="Arial" w:hAnsi="Arial"/>
          <w:sz w:val="18"/>
          <w:szCs w:val="18"/>
          <w:color w:val="auto"/>
        </w:rPr>
        <w:t>Not applicable.</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FINANCIAL STATEMENTS AND EXHIBITS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included beginning at page F-1.</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20"/>
                <w:szCs w:val="20"/>
                <w:color w:val="auto"/>
              </w:rPr>
            </w:pPr>
            <w:r>
              <w:rPr>
                <w:rFonts w:ascii="Arial" w:cs="Arial" w:eastAsia="Arial" w:hAnsi="Arial"/>
                <w:sz w:val="14"/>
                <w:szCs w:val="14"/>
                <w:color w:val="auto"/>
              </w:rPr>
              <w:t>Exhibit Designation</w:t>
            </w:r>
          </w:p>
        </w:tc>
        <w:tc>
          <w:tcPr>
            <w:tcW w:w="740" w:type="dxa"/>
            <w:vAlign w:val="bottom"/>
          </w:tcPr>
          <w:p>
            <w:pPr>
              <w:spacing w:after="0"/>
              <w:rPr>
                <w:sz w:val="14"/>
                <w:szCs w:val="14"/>
                <w:color w:val="auto"/>
              </w:rPr>
            </w:pPr>
          </w:p>
        </w:tc>
        <w:tc>
          <w:tcPr>
            <w:tcW w:w="9400" w:type="dxa"/>
            <w:vAlign w:val="bottom"/>
            <w:gridSpan w:val="3"/>
          </w:tcPr>
          <w:p>
            <w:pPr>
              <w:ind w:left="760"/>
              <w:spacing w:after="0"/>
              <w:rPr>
                <w:sz w:val="20"/>
                <w:szCs w:val="20"/>
                <w:color w:val="auto"/>
              </w:rPr>
            </w:pPr>
            <w:r>
              <w:rPr>
                <w:rFonts w:ascii="Arial" w:cs="Arial" w:eastAsia="Arial" w:hAnsi="Arial"/>
                <w:sz w:val="14"/>
                <w:szCs w:val="14"/>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304"/>
        </w:trPr>
        <w:tc>
          <w:tcPr>
            <w:tcW w:w="1240" w:type="dxa"/>
            <w:vAlign w:val="bottom"/>
          </w:tcPr>
          <w:p>
            <w:pPr>
              <w:ind w:left="10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Amended and Restated Certificate of Incorporation of AquaBounty Technologies, Inc.*</w:t>
            </w:r>
          </w:p>
        </w:tc>
      </w:tr>
      <w:tr>
        <w:trPr>
          <w:trHeight w:val="296"/>
        </w:trPr>
        <w:tc>
          <w:tcPr>
            <w:tcW w:w="1240" w:type="dxa"/>
            <w:vAlign w:val="bottom"/>
          </w:tcPr>
          <w:p>
            <w:pPr>
              <w:ind w:left="10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w w:val="99"/>
              </w:rPr>
              <w:t>Form of Second Amended and Restated Certificate of Incorporation of AquaBounty Technologies, Inc. (to be</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in effect immediately prior to the effectiveness of this Registration Statement)*</w:t>
            </w:r>
          </w:p>
        </w:tc>
      </w:tr>
      <w:tr>
        <w:trPr>
          <w:trHeight w:val="311"/>
        </w:trPr>
        <w:tc>
          <w:tcPr>
            <w:tcW w:w="1240" w:type="dxa"/>
            <w:vAlign w:val="bottom"/>
          </w:tcPr>
          <w:p>
            <w:pPr>
              <w:ind w:left="100"/>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Amended and Restated Bylaws of AquaBounty Technologies, Inc.*</w:t>
            </w:r>
          </w:p>
        </w:tc>
      </w:tr>
      <w:tr>
        <w:trPr>
          <w:trHeight w:val="311"/>
        </w:trPr>
        <w:tc>
          <w:tcPr>
            <w:tcW w:w="1240" w:type="dxa"/>
            <w:vAlign w:val="bottom"/>
          </w:tcPr>
          <w:p>
            <w:pPr>
              <w:ind w:left="100"/>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Specimen Certificate of Common Stock*</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AquaBounty Technologies, Inc. 2006 Equity Incentive Plan*</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Amendment No. 1 to AquaBounty Technologies, Inc. 2006 Equity Incentive Plan*</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Form of Stock Option Agreement pursuant to AquaBounty Technologies, Inc. 2006 Equity Incentive Plan*</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w w:val="99"/>
              </w:rPr>
              <w:t>Form of Restricted Stock Agreement pursuant to AquaBounty Technologies, Inc. 2006 Equity Incentive Plan*</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Relationship Agreement, by and between AquaBounty Technologies, Inc. and Intrexon Corporation, dated</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December 5, 2012*</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10.6</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Exclusive Channel Collaboration Agreement, by and between AquaBounty Technologies, Inc. and Intrexon</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Corporation, dated February 14, 2013*</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Subscription Agreement, by and between AquaBounty Technologies, Inc. and the investors listed therein,</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dated February 14, 2013*</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Subscription Agreement, by and between AquaBounty Technologies, Inc. and Intrexon Corporation, dated</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March 5, 2014*</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10.9</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Lease and Management Agreement, by and between AquaBounty Panama, S. de R.L. and Luis Lamastus,</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dated October 1, 2013*</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10.10</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Agreement, by and among Atlantic Canada Opportunities Agency and AquaBounty Canada, Inc. and</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AquaBounty Technologies Inc., dated December 16, 2009*</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10.11</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Employment Agreement, by and between Ronald Stotish and AquaBounty Technologies, Inc., dated April 1,</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2"/>
          </w:tcPr>
          <w:p>
            <w:pPr>
              <w:ind w:left="760"/>
              <w:spacing w:after="0"/>
              <w:rPr>
                <w:sz w:val="20"/>
                <w:szCs w:val="20"/>
                <w:color w:val="auto"/>
              </w:rPr>
            </w:pPr>
            <w:r>
              <w:rPr>
                <w:rFonts w:ascii="Arial" w:cs="Arial" w:eastAsia="Arial" w:hAnsi="Arial"/>
                <w:sz w:val="18"/>
                <w:szCs w:val="18"/>
                <w:color w:val="auto"/>
              </w:rPr>
              <w:t>2006*</w:t>
            </w:r>
          </w:p>
        </w:tc>
        <w:tc>
          <w:tcPr>
            <w:tcW w:w="7920" w:type="dxa"/>
            <w:vAlign w:val="bottom"/>
          </w:tcPr>
          <w:p>
            <w:pPr>
              <w:spacing w:after="0"/>
              <w:rPr>
                <w:sz w:val="18"/>
                <w:szCs w:val="18"/>
                <w:color w:val="auto"/>
              </w:rPr>
            </w:pP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10.12</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w w:val="99"/>
              </w:rPr>
              <w:t>Employment Agreement, by and between David Frank and AquaBounty Technologies, Inc., dated October 1,</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2"/>
          </w:tcPr>
          <w:p>
            <w:pPr>
              <w:ind w:left="760"/>
              <w:spacing w:after="0"/>
              <w:rPr>
                <w:sz w:val="20"/>
                <w:szCs w:val="20"/>
                <w:color w:val="auto"/>
              </w:rPr>
            </w:pPr>
            <w:r>
              <w:rPr>
                <w:rFonts w:ascii="Arial" w:cs="Arial" w:eastAsia="Arial" w:hAnsi="Arial"/>
                <w:sz w:val="18"/>
                <w:szCs w:val="18"/>
                <w:color w:val="auto"/>
              </w:rPr>
              <w:t>2007*</w:t>
            </w:r>
          </w:p>
        </w:tc>
        <w:tc>
          <w:tcPr>
            <w:tcW w:w="7920" w:type="dxa"/>
            <w:vAlign w:val="bottom"/>
          </w:tcPr>
          <w:p>
            <w:pPr>
              <w:spacing w:after="0"/>
              <w:rPr>
                <w:sz w:val="18"/>
                <w:szCs w:val="18"/>
                <w:color w:val="auto"/>
              </w:rPr>
            </w:pP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10.13</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Employment Agreement, by and between Henry Clifford and AquaBounty Technologies, Inc., dated</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November 28, 2007*</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10.14</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Employment Agreement, by and between Alejandro Rojas and AquaBounty Technologies, Inc., dated</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December 30, 2013*</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10.15</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Collaborative Research Agreement, by and between AquaBounty Canada Inc. and Tethys Aquaculture</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Canada, Inc., dated March 22, 2012.*</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10.16</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Intellectual Property License and Full and Final Release among Genesis Group, Inc., HSC Research and</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Development Partnership and AquaBounty Technologies, Inc., dated February 28, 2014*</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Lease Agreement, by and between AquaBounty Panama, S. de R.L. and Ligia Gabriela Surgeon de</w:t>
            </w:r>
          </w:p>
        </w:tc>
      </w:tr>
      <w:tr>
        <w:trPr>
          <w:trHeight w:val="217"/>
        </w:trPr>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Lamastus, dated August 24, 2014**</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24"/>
                <w:szCs w:val="24"/>
                <w:color w:val="auto"/>
              </w:rPr>
            </w:pPr>
          </w:p>
        </w:tc>
        <w:tc>
          <w:tcPr>
            <w:tcW w:w="9400" w:type="dxa"/>
            <w:vAlign w:val="bottom"/>
            <w:gridSpan w:val="3"/>
          </w:tcPr>
          <w:p>
            <w:pPr>
              <w:ind w:left="760"/>
              <w:spacing w:after="0"/>
              <w:rPr>
                <w:sz w:val="20"/>
                <w:szCs w:val="20"/>
                <w:color w:val="auto"/>
              </w:rPr>
            </w:pPr>
            <w:r>
              <w:rPr>
                <w:rFonts w:ascii="Arial" w:cs="Arial" w:eastAsia="Arial" w:hAnsi="Arial"/>
                <w:sz w:val="18"/>
                <w:szCs w:val="18"/>
                <w:color w:val="auto"/>
              </w:rPr>
              <w:t>List of Subsidiaries of AquaBounty Technologies, Inc.*</w:t>
            </w:r>
          </w:p>
        </w:tc>
      </w:tr>
    </w:tbl>
    <w:p>
      <w:pPr>
        <w:spacing w:after="0" w:line="22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Previously filed.</w:t>
      </w: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Pursuant to the requirements Section 12 of the Securities Act of 1934, the registrant has duly caused this Registration Statement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r>
              <w:rPr>
                <w:rFonts w:ascii="Arial" w:cs="Arial" w:eastAsia="Arial" w:hAnsi="Arial"/>
                <w:sz w:val="18"/>
                <w:szCs w:val="18"/>
                <w:color w:val="auto"/>
              </w:rPr>
              <w:t>Date: September 22, 2014</w:t>
            </w:r>
          </w:p>
        </w:tc>
        <w:tc>
          <w:tcPr>
            <w:tcW w:w="7660" w:type="dxa"/>
            <w:vAlign w:val="bottom"/>
            <w:gridSpan w:val="2"/>
          </w:tcPr>
          <w:p>
            <w:pPr>
              <w:ind w:left="1640"/>
              <w:spacing w:after="0"/>
              <w:rPr>
                <w:sz w:val="20"/>
                <w:szCs w:val="20"/>
                <w:color w:val="auto"/>
              </w:rPr>
            </w:pPr>
            <w:r>
              <w:rPr>
                <w:rFonts w:ascii="Arial" w:cs="Arial" w:eastAsia="Arial" w:hAnsi="Arial"/>
                <w:sz w:val="18"/>
                <w:szCs w:val="18"/>
                <w:b w:val="1"/>
                <w:bCs w:val="1"/>
                <w:color w:val="auto"/>
              </w:rPr>
              <w:t>AQUABOUNTY TECHNOLOGIES, INC.</w:t>
            </w:r>
          </w:p>
        </w:tc>
      </w:tr>
      <w:tr>
        <w:trPr>
          <w:trHeight w:val="405"/>
        </w:trPr>
        <w:tc>
          <w:tcPr>
            <w:tcW w:w="3760" w:type="dxa"/>
            <w:vAlign w:val="bottom"/>
          </w:tcPr>
          <w:p>
            <w:pPr>
              <w:spacing w:after="0"/>
              <w:rPr>
                <w:sz w:val="24"/>
                <w:szCs w:val="24"/>
                <w:color w:val="auto"/>
              </w:rPr>
            </w:pPr>
          </w:p>
        </w:tc>
        <w:tc>
          <w:tcPr>
            <w:tcW w:w="2420" w:type="dxa"/>
            <w:vAlign w:val="bottom"/>
          </w:tcPr>
          <w:p>
            <w:pPr>
              <w:ind w:left="16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L. Stotish</w:t>
            </w:r>
          </w:p>
        </w:tc>
      </w:tr>
      <w:tr>
        <w:trPr>
          <w:trHeight w:val="209"/>
        </w:trPr>
        <w:tc>
          <w:tcPr>
            <w:tcW w:w="3760" w:type="dxa"/>
            <w:vAlign w:val="bottom"/>
          </w:tcPr>
          <w:p>
            <w:pPr>
              <w:spacing w:after="0"/>
              <w:rPr>
                <w:sz w:val="18"/>
                <w:szCs w:val="18"/>
                <w:color w:val="auto"/>
              </w:rPr>
            </w:pPr>
          </w:p>
        </w:tc>
        <w:tc>
          <w:tcPr>
            <w:tcW w:w="2420" w:type="dxa"/>
            <w:vAlign w:val="bottom"/>
          </w:tcPr>
          <w:p>
            <w:pPr>
              <w:ind w:left="164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Ronald L. Stotish</w:t>
            </w:r>
          </w:p>
        </w:tc>
      </w:tr>
      <w:tr>
        <w:trPr>
          <w:trHeight w:val="217"/>
        </w:trPr>
        <w:tc>
          <w:tcPr>
            <w:tcW w:w="3760" w:type="dxa"/>
            <w:vAlign w:val="bottom"/>
          </w:tcPr>
          <w:p>
            <w:pPr>
              <w:spacing w:after="0"/>
              <w:rPr>
                <w:sz w:val="18"/>
                <w:szCs w:val="18"/>
                <w:color w:val="auto"/>
              </w:rPr>
            </w:pPr>
          </w:p>
        </w:tc>
        <w:tc>
          <w:tcPr>
            <w:tcW w:w="2420" w:type="dxa"/>
            <w:vAlign w:val="bottom"/>
          </w:tcPr>
          <w:p>
            <w:pPr>
              <w:ind w:left="164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351"/>
        </w:trPr>
        <w:tc>
          <w:tcPr>
            <w:tcW w:w="3760" w:type="dxa"/>
            <w:vAlign w:val="bottom"/>
          </w:tcPr>
          <w:p>
            <w:pPr>
              <w:spacing w:after="0"/>
              <w:rPr>
                <w:sz w:val="24"/>
                <w:szCs w:val="24"/>
                <w:color w:val="auto"/>
              </w:rPr>
            </w:pPr>
          </w:p>
        </w:tc>
        <w:tc>
          <w:tcPr>
            <w:tcW w:w="2420" w:type="dxa"/>
            <w:vAlign w:val="bottom"/>
          </w:tcPr>
          <w:p>
            <w:pPr>
              <w:ind w:left="1860"/>
              <w:spacing w:after="0"/>
              <w:rPr>
                <w:sz w:val="20"/>
                <w:szCs w:val="20"/>
                <w:color w:val="auto"/>
              </w:rPr>
            </w:pPr>
            <w:r>
              <w:rPr>
                <w:rFonts w:ascii="Arial" w:cs="Arial" w:eastAsia="Arial" w:hAnsi="Arial"/>
                <w:sz w:val="18"/>
                <w:szCs w:val="18"/>
                <w:color w:val="auto"/>
              </w:rPr>
              <w:t>60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00" w:type="dxa"/>
            <w:vAlign w:val="bottom"/>
            <w:gridSpan w:val="1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497"/>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9340" w:type="dxa"/>
            <w:vAlign w:val="bottom"/>
            <w:gridSpan w:val="13"/>
          </w:tcPr>
          <w:p>
            <w:pPr>
              <w:jc w:val="center"/>
              <w:ind w:right="640"/>
              <w:spacing w:after="0"/>
              <w:rPr>
                <w:sz w:val="20"/>
                <w:szCs w:val="20"/>
                <w:color w:val="auto"/>
              </w:rPr>
            </w:pPr>
            <w:r>
              <w:rPr>
                <w:rFonts w:ascii="Arial" w:cs="Arial" w:eastAsia="Arial" w:hAnsi="Arial"/>
                <w:sz w:val="18"/>
                <w:szCs w:val="18"/>
                <w:b w:val="1"/>
                <w:bCs w:val="1"/>
                <w:color w:val="auto"/>
                <w:w w:val="98"/>
              </w:rPr>
              <w:t>INDEX TO FINANCIAL STATEMENTS</w:t>
            </w:r>
          </w:p>
        </w:tc>
        <w:tc>
          <w:tcPr>
            <w:tcW w:w="540" w:type="dxa"/>
            <w:vAlign w:val="bottom"/>
          </w:tcPr>
          <w:p>
            <w:pPr>
              <w:spacing w:after="0"/>
              <w:rPr>
                <w:sz w:val="24"/>
                <w:szCs w:val="24"/>
                <w:color w:val="auto"/>
              </w:rPr>
            </w:pPr>
          </w:p>
        </w:tc>
      </w:tr>
      <w:tr>
        <w:trPr>
          <w:trHeight w:val="239"/>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340" w:type="dxa"/>
            <w:vAlign w:val="bottom"/>
            <w:gridSpan w:val="13"/>
          </w:tcPr>
          <w:p>
            <w:pPr>
              <w:jc w:val="center"/>
              <w:ind w:right="620"/>
              <w:spacing w:after="0"/>
              <w:rPr>
                <w:sz w:val="20"/>
                <w:szCs w:val="20"/>
                <w:color w:val="auto"/>
              </w:rPr>
            </w:pPr>
            <w:r>
              <w:rPr>
                <w:rFonts w:ascii="Arial" w:cs="Arial" w:eastAsia="Arial" w:hAnsi="Arial"/>
                <w:sz w:val="18"/>
                <w:szCs w:val="18"/>
                <w:b w:val="1"/>
                <w:bCs w:val="1"/>
                <w:color w:val="auto"/>
                <w:w w:val="99"/>
              </w:rPr>
              <w:t>AQUABOUNTY TECHNOLOGIES, INC.</w:t>
            </w:r>
          </w:p>
        </w:tc>
        <w:tc>
          <w:tcPr>
            <w:tcW w:w="540" w:type="dxa"/>
            <w:vAlign w:val="bottom"/>
          </w:tcPr>
          <w:p>
            <w:pPr>
              <w:spacing w:after="0"/>
              <w:rPr>
                <w:sz w:val="20"/>
                <w:szCs w:val="20"/>
                <w:color w:val="auto"/>
              </w:rPr>
            </w:pPr>
          </w:p>
        </w:tc>
      </w:tr>
      <w:tr>
        <w:trPr>
          <w:trHeight w:val="405"/>
        </w:trPr>
        <w:tc>
          <w:tcPr>
            <w:tcW w:w="10700" w:type="dxa"/>
            <w:vAlign w:val="bottom"/>
            <w:gridSpan w:val="1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Unaudited Consolidated Financial Statements of AquaBounty Technologies, Inc.</w:t>
              </w:r>
            </w:hyperlink>
          </w:p>
        </w:tc>
        <w:tc>
          <w:tcPr>
            <w:tcW w:w="540" w:type="dxa"/>
            <w:vAlign w:val="bottom"/>
          </w:tcPr>
          <w:p>
            <w:pPr>
              <w:spacing w:after="0"/>
              <w:rPr>
                <w:sz w:val="24"/>
                <w:szCs w:val="24"/>
                <w:color w:val="auto"/>
              </w:rPr>
            </w:pPr>
          </w:p>
        </w:tc>
      </w:tr>
      <w:tr>
        <w:trPr>
          <w:trHeight w:val="291"/>
        </w:trPr>
        <w:tc>
          <w:tcPr>
            <w:tcW w:w="360" w:type="dxa"/>
            <w:vAlign w:val="bottom"/>
            <w:tcBorders>
              <w:top w:val="single" w:sz="8" w:color="0000EE"/>
            </w:tcBorders>
          </w:tcPr>
          <w:p>
            <w:pPr>
              <w:spacing w:after="0"/>
              <w:rPr>
                <w:sz w:val="24"/>
                <w:szCs w:val="24"/>
                <w:color w:val="auto"/>
              </w:rPr>
            </w:pPr>
          </w:p>
        </w:tc>
        <w:tc>
          <w:tcPr>
            <w:tcW w:w="6020" w:type="dxa"/>
            <w:vAlign w:val="bottom"/>
            <w:tcBorders>
              <w:top w:val="single" w:sz="8" w:color="0000EE"/>
            </w:tcBorders>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June 30, 2014 and December 31, 2013</w:t>
              </w:r>
            </w:hyperlink>
          </w:p>
        </w:tc>
        <w:tc>
          <w:tcPr>
            <w:tcW w:w="432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6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101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Consolidated Statements of Operations and Comprehensive Loss for the Three and Six Months Ended June 30, 2014 and 2013</w:t>
              </w:r>
            </w:hyperlink>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91"/>
        </w:trPr>
        <w:tc>
          <w:tcPr>
            <w:tcW w:w="360" w:type="dxa"/>
            <w:vAlign w:val="bottom"/>
          </w:tcPr>
          <w:p>
            <w:pPr>
              <w:spacing w:after="0"/>
              <w:rPr>
                <w:sz w:val="24"/>
                <w:szCs w:val="24"/>
                <w:color w:val="auto"/>
              </w:rPr>
            </w:pPr>
          </w:p>
        </w:tc>
        <w:tc>
          <w:tcPr>
            <w:tcW w:w="72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Consolidated Statements of Cash Flows for the Six Months Ended June 30, 2014 and 2013</w:t>
              </w:r>
            </w:hyperlink>
          </w:p>
        </w:tc>
        <w:tc>
          <w:tcPr>
            <w:tcW w:w="30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91"/>
        </w:trPr>
        <w:tc>
          <w:tcPr>
            <w:tcW w:w="36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Unaudited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6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61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Audited Consolidated Financial Statements of AquaBounty Technologies, Inc.</w:t>
              </w:r>
            </w:hyperlink>
          </w:p>
        </w:tc>
        <w:tc>
          <w:tcPr>
            <w:tcW w:w="452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r>
      <w:tr>
        <w:trPr>
          <w:trHeight w:val="291"/>
        </w:trPr>
        <w:tc>
          <w:tcPr>
            <w:tcW w:w="360" w:type="dxa"/>
            <w:vAlign w:val="bottom"/>
          </w:tcPr>
          <w:p>
            <w:pPr>
              <w:spacing w:after="0"/>
              <w:rPr>
                <w:sz w:val="24"/>
                <w:szCs w:val="24"/>
                <w:color w:val="auto"/>
              </w:rPr>
            </w:pPr>
          </w:p>
        </w:tc>
        <w:tc>
          <w:tcPr>
            <w:tcW w:w="46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Report of Independent Registered Public Accounting Firm</w:t>
              </w:r>
            </w:hyperlink>
          </w:p>
        </w:tc>
        <w:tc>
          <w:tcPr>
            <w:tcW w:w="57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91"/>
        </w:trPr>
        <w:tc>
          <w:tcPr>
            <w:tcW w:w="36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Balance Sheets as of December 31, 2013 and 2012</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0"/>
        </w:trPr>
        <w:tc>
          <w:tcPr>
            <w:tcW w:w="36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Operations and Comprehensive Loss for the Years Ended December 31, 2013, 2012 and 2011</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20"/>
        </w:trPr>
        <w:tc>
          <w:tcPr>
            <w:tcW w:w="36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36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79">
              <w:r>
                <w:rPr>
                  <w:rFonts w:ascii="Arial" w:cs="Arial" w:eastAsia="Arial" w:hAnsi="Arial"/>
                  <w:sz w:val="18"/>
                  <w:szCs w:val="18"/>
                  <w:color w:val="0000EE"/>
                  <w:w w:val="99"/>
                </w:rPr>
                <w:t>Consolidated Statements of Changes in Stockholders’ Equity (Deficit) for the Years Ended December 31, 2013, 2012 and 2011</w:t>
              </w:r>
            </w:hyperlink>
          </w:p>
        </w:tc>
        <w:tc>
          <w:tcPr>
            <w:tcW w:w="24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F-16</w:t>
            </w:r>
          </w:p>
        </w:tc>
      </w:tr>
      <w:tr>
        <w:trPr>
          <w:trHeight w:val="291"/>
        </w:trPr>
        <w:tc>
          <w:tcPr>
            <w:tcW w:w="360" w:type="dxa"/>
            <w:vAlign w:val="bottom"/>
          </w:tcPr>
          <w:p>
            <w:pPr>
              <w:spacing w:after="0"/>
              <w:rPr>
                <w:sz w:val="24"/>
                <w:szCs w:val="24"/>
                <w:color w:val="auto"/>
              </w:rPr>
            </w:pPr>
          </w:p>
        </w:tc>
        <w:tc>
          <w:tcPr>
            <w:tcW w:w="77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Consolidated Statements of Cash Flows for the Years Ended December 31, 2013, 2012 and 2011</w:t>
              </w:r>
            </w:hyperlink>
          </w:p>
        </w:tc>
        <w:tc>
          <w:tcPr>
            <w:tcW w:w="256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291"/>
        </w:trPr>
        <w:tc>
          <w:tcPr>
            <w:tcW w:w="360" w:type="dxa"/>
            <w:vAlign w:val="bottom"/>
          </w:tcPr>
          <w:p>
            <w:pPr>
              <w:spacing w:after="0"/>
              <w:rPr>
                <w:sz w:val="24"/>
                <w:szCs w:val="24"/>
                <w:color w:val="auto"/>
              </w:rPr>
            </w:pPr>
          </w:p>
        </w:tc>
        <w:tc>
          <w:tcPr>
            <w:tcW w:w="418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Notes to Audited Consolidated Financial Statements</w:t>
              </w:r>
            </w:hyperlink>
          </w:p>
        </w:tc>
        <w:tc>
          <w:tcPr>
            <w:tcW w:w="616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F-18</w:t>
            </w:r>
          </w:p>
        </w:tc>
      </w:tr>
    </w:tbl>
    <w:p>
      <w:pPr>
        <w:sectPr>
          <w:pgSz w:w="11900" w:h="16838" w:orient="portrait"/>
          <w:cols w:equalWidth="0" w:num="1">
            <w:col w:w="11240"/>
          </w:cols>
          <w:pgMar w:left="240" w:top="446"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Financial Statements (unaudited)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 Ended June 30, 2014</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w:t>
      </w:r>
    </w:p>
    <w:p>
      <w:pPr>
        <w:sectPr>
          <w:pgSz w:w="11900" w:h="16838" w:orient="portrait"/>
          <w:cols w:equalWidth="0" w:num="1">
            <w:col w:w="1132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w:t>
            </w:r>
          </w:p>
        </w:tc>
        <w:tc>
          <w:tcPr>
            <w:tcW w:w="18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June 30, 2014</w:t>
            </w:r>
          </w:p>
        </w:tc>
        <w:tc>
          <w:tcPr>
            <w:tcW w:w="19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183"/>
        </w:trPr>
        <w:tc>
          <w:tcPr>
            <w:tcW w:w="76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Current assets:</w:t>
            </w: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8,625,642</w:t>
            </w:r>
          </w:p>
        </w:tc>
        <w:tc>
          <w:tcPr>
            <w:tcW w:w="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1,875,749</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Certificate of deposit</w:t>
            </w:r>
          </w:p>
        </w:tc>
        <w:tc>
          <w:tcPr>
            <w:tcW w:w="52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13,462</w:t>
            </w:r>
          </w:p>
        </w:tc>
        <w:tc>
          <w:tcPr>
            <w:tcW w:w="60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13,431</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52,543</w:t>
            </w: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78,455</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Prepaid expenses and other assets</w:t>
            </w: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206,783</w:t>
            </w: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220,888</w:t>
            </w:r>
          </w:p>
        </w:tc>
        <w:tc>
          <w:tcPr>
            <w:tcW w:w="0" w:type="dxa"/>
            <w:vAlign w:val="bottom"/>
          </w:tcPr>
          <w:p>
            <w:pPr>
              <w:spacing w:after="0"/>
              <w:rPr>
                <w:sz w:val="1"/>
                <w:szCs w:val="1"/>
                <w:color w:val="auto"/>
              </w:rPr>
            </w:pPr>
          </w:p>
        </w:tc>
      </w:tr>
      <w:tr>
        <w:trPr>
          <w:trHeight w:val="183"/>
        </w:trPr>
        <w:tc>
          <w:tcPr>
            <w:tcW w:w="7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current assets</w:t>
            </w: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39"/>
              <w:spacing w:after="0" w:line="183" w:lineRule="exact"/>
              <w:rPr>
                <w:sz w:val="20"/>
                <w:szCs w:val="20"/>
                <w:color w:val="auto"/>
              </w:rPr>
            </w:pPr>
            <w:r>
              <w:rPr>
                <w:rFonts w:ascii="Arial" w:cs="Arial" w:eastAsia="Arial" w:hAnsi="Arial"/>
                <w:sz w:val="16"/>
                <w:szCs w:val="16"/>
                <w:b w:val="1"/>
                <w:bCs w:val="1"/>
                <w:color w:val="auto"/>
              </w:rPr>
              <w:t>8,898,430</w:t>
            </w:r>
          </w:p>
        </w:tc>
        <w:tc>
          <w:tcPr>
            <w:tcW w:w="6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2,188,523</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996,540</w:t>
            </w:r>
          </w:p>
        </w:tc>
        <w:tc>
          <w:tcPr>
            <w:tcW w:w="60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1,016,843</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Definite lived intangible assets, net</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162,976</w:t>
            </w: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141,779</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Indefinite lived intangible assets</w:t>
            </w:r>
          </w:p>
        </w:tc>
        <w:tc>
          <w:tcPr>
            <w:tcW w:w="52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191,800</w:t>
            </w:r>
          </w:p>
        </w:tc>
        <w:tc>
          <w:tcPr>
            <w:tcW w:w="60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191,800</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5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21,628</w:t>
            </w:r>
          </w:p>
        </w:tc>
        <w:tc>
          <w:tcPr>
            <w:tcW w:w="6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21,628</w:t>
            </w:r>
          </w:p>
        </w:tc>
        <w:tc>
          <w:tcPr>
            <w:tcW w:w="0" w:type="dxa"/>
            <w:vAlign w:val="bottom"/>
          </w:tcPr>
          <w:p>
            <w:pPr>
              <w:spacing w:after="0"/>
              <w:rPr>
                <w:sz w:val="1"/>
                <w:szCs w:val="1"/>
                <w:color w:val="auto"/>
              </w:rPr>
            </w:pPr>
          </w:p>
        </w:tc>
      </w:tr>
      <w:tr>
        <w:trPr>
          <w:trHeight w:val="190"/>
        </w:trPr>
        <w:tc>
          <w:tcPr>
            <w:tcW w:w="7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assets</w:t>
            </w: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10,271,374</w:t>
            </w:r>
          </w:p>
        </w:tc>
        <w:tc>
          <w:tcPr>
            <w:tcW w:w="600" w:type="dxa"/>
            <w:vAlign w:val="bottom"/>
            <w:tcBorders>
              <w:bottom w:val="single" w:sz="8" w:color="auto"/>
            </w:tcBorders>
          </w:tcPr>
          <w:p>
            <w:pPr>
              <w:ind w:left="360"/>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3,560,573</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728,120</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704,028</w:t>
            </w:r>
          </w:p>
        </w:tc>
        <w:tc>
          <w:tcPr>
            <w:tcW w:w="0" w:type="dxa"/>
            <w:vAlign w:val="bottom"/>
          </w:tcPr>
          <w:p>
            <w:pPr>
              <w:spacing w:after="0"/>
              <w:rPr>
                <w:sz w:val="1"/>
                <w:szCs w:val="1"/>
                <w:color w:val="auto"/>
              </w:rPr>
            </w:pPr>
          </w:p>
        </w:tc>
      </w:tr>
      <w:tr>
        <w:trPr>
          <w:trHeight w:val="183"/>
        </w:trPr>
        <w:tc>
          <w:tcPr>
            <w:tcW w:w="7640" w:type="dxa"/>
            <w:vAlign w:val="bottom"/>
          </w:tcPr>
          <w:p>
            <w:pPr>
              <w:spacing w:after="0" w:line="183" w:lineRule="exact"/>
              <w:rPr>
                <w:sz w:val="20"/>
                <w:szCs w:val="20"/>
                <w:color w:val="auto"/>
              </w:rPr>
            </w:pPr>
            <w:r>
              <w:rPr>
                <w:rFonts w:ascii="Arial" w:cs="Arial" w:eastAsia="Arial" w:hAnsi="Arial"/>
                <w:sz w:val="16"/>
                <w:szCs w:val="16"/>
                <w:color w:val="auto"/>
              </w:rPr>
              <w:t>Total current liabilities</w:t>
            </w:r>
          </w:p>
        </w:tc>
        <w:tc>
          <w:tcPr>
            <w:tcW w:w="520" w:type="dxa"/>
            <w:vAlign w:val="bottom"/>
          </w:tcPr>
          <w:p>
            <w:pPr>
              <w:spacing w:after="0"/>
              <w:rPr>
                <w:sz w:val="15"/>
                <w:szCs w:val="15"/>
                <w:color w:val="auto"/>
              </w:rPr>
            </w:pPr>
          </w:p>
        </w:tc>
        <w:tc>
          <w:tcPr>
            <w:tcW w:w="130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auto"/>
              </w:rPr>
              <w:t>728,120</w:t>
            </w:r>
          </w:p>
        </w:tc>
        <w:tc>
          <w:tcPr>
            <w:tcW w:w="600" w:type="dxa"/>
            <w:vAlign w:val="bottom"/>
          </w:tcPr>
          <w:p>
            <w:pPr>
              <w:spacing w:after="0"/>
              <w:rPr>
                <w:sz w:val="15"/>
                <w:szCs w:val="15"/>
                <w:color w:val="auto"/>
              </w:rPr>
            </w:pPr>
          </w:p>
        </w:tc>
        <w:tc>
          <w:tcPr>
            <w:tcW w:w="136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704,028</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5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2,639,137</w:t>
            </w:r>
          </w:p>
        </w:tc>
        <w:tc>
          <w:tcPr>
            <w:tcW w:w="6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2,359,653</w:t>
            </w:r>
          </w:p>
        </w:tc>
        <w:tc>
          <w:tcPr>
            <w:tcW w:w="0" w:type="dxa"/>
            <w:vAlign w:val="bottom"/>
          </w:tcPr>
          <w:p>
            <w:pPr>
              <w:spacing w:after="0"/>
              <w:rPr>
                <w:sz w:val="1"/>
                <w:szCs w:val="1"/>
                <w:color w:val="auto"/>
              </w:rPr>
            </w:pPr>
          </w:p>
        </w:tc>
      </w:tr>
      <w:tr>
        <w:trPr>
          <w:trHeight w:val="183"/>
        </w:trPr>
        <w:tc>
          <w:tcPr>
            <w:tcW w:w="764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520" w:type="dxa"/>
            <w:vAlign w:val="bottom"/>
          </w:tcPr>
          <w:p>
            <w:pPr>
              <w:spacing w:after="0"/>
              <w:rPr>
                <w:sz w:val="15"/>
                <w:szCs w:val="15"/>
                <w:color w:val="auto"/>
              </w:rPr>
            </w:pPr>
          </w:p>
        </w:tc>
        <w:tc>
          <w:tcPr>
            <w:tcW w:w="130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auto"/>
              </w:rPr>
              <w:t>3,367,257</w:t>
            </w:r>
          </w:p>
        </w:tc>
        <w:tc>
          <w:tcPr>
            <w:tcW w:w="600" w:type="dxa"/>
            <w:vAlign w:val="bottom"/>
          </w:tcPr>
          <w:p>
            <w:pPr>
              <w:spacing w:after="0"/>
              <w:rPr>
                <w:sz w:val="15"/>
                <w:szCs w:val="15"/>
                <w:color w:val="auto"/>
              </w:rPr>
            </w:pPr>
          </w:p>
        </w:tc>
        <w:tc>
          <w:tcPr>
            <w:tcW w:w="136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3,063,681</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Stockholders’ equity:</w:t>
            </w: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Common stock, $0.001 par value, 200,000,000 shares authorized; 144,405,837 (2013: 125,305,471)</w:t>
            </w:r>
          </w:p>
        </w:tc>
        <w:tc>
          <w:tcPr>
            <w:tcW w:w="5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144,406</w:t>
            </w: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outstanding</w:t>
            </w:r>
          </w:p>
        </w:tc>
        <w:tc>
          <w:tcPr>
            <w:tcW w:w="5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125,305</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87,466,043</w:t>
            </w:r>
          </w:p>
        </w:tc>
        <w:tc>
          <w:tcPr>
            <w:tcW w:w="60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77,582,210</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(584,960)</w:t>
            </w:r>
          </w:p>
        </w:tc>
        <w:tc>
          <w:tcPr>
            <w:tcW w:w="6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(566,310)</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Accumulated deficit</w:t>
            </w: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(80,121,372)</w:t>
            </w: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(76,644,313)</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stockholders’ equity</w:t>
            </w:r>
          </w:p>
        </w:tc>
        <w:tc>
          <w:tcPr>
            <w:tcW w:w="5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39"/>
              <w:spacing w:after="0" w:line="183" w:lineRule="exact"/>
              <w:rPr>
                <w:sz w:val="20"/>
                <w:szCs w:val="20"/>
                <w:color w:val="auto"/>
              </w:rPr>
            </w:pPr>
            <w:r>
              <w:rPr>
                <w:rFonts w:ascii="Arial" w:cs="Arial" w:eastAsia="Arial" w:hAnsi="Arial"/>
                <w:sz w:val="16"/>
                <w:szCs w:val="16"/>
                <w:b w:val="1"/>
                <w:bCs w:val="1"/>
                <w:color w:val="auto"/>
              </w:rPr>
              <w:t>6,904,117</w:t>
            </w:r>
          </w:p>
        </w:tc>
        <w:tc>
          <w:tcPr>
            <w:tcW w:w="6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496,892</w:t>
            </w:r>
          </w:p>
        </w:tc>
        <w:tc>
          <w:tcPr>
            <w:tcW w:w="0" w:type="dxa"/>
            <w:vAlign w:val="bottom"/>
          </w:tcPr>
          <w:p>
            <w:pPr>
              <w:spacing w:after="0"/>
              <w:rPr>
                <w:sz w:val="1"/>
                <w:szCs w:val="1"/>
                <w:color w:val="auto"/>
              </w:rPr>
            </w:pPr>
          </w:p>
        </w:tc>
      </w:tr>
      <w:tr>
        <w:trPr>
          <w:trHeight w:val="190"/>
        </w:trPr>
        <w:tc>
          <w:tcPr>
            <w:tcW w:w="7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10,271,374</w:t>
            </w:r>
          </w:p>
        </w:tc>
        <w:tc>
          <w:tcPr>
            <w:tcW w:w="600" w:type="dxa"/>
            <w:vAlign w:val="bottom"/>
            <w:tcBorders>
              <w:bottom w:val="single" w:sz="8" w:color="auto"/>
            </w:tcBorders>
          </w:tcPr>
          <w:p>
            <w:pPr>
              <w:ind w:left="360"/>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3,560,573</w:t>
            </w:r>
          </w:p>
        </w:tc>
        <w:tc>
          <w:tcPr>
            <w:tcW w:w="0" w:type="dxa"/>
            <w:vAlign w:val="bottom"/>
          </w:tcPr>
          <w:p>
            <w:pPr>
              <w:spacing w:after="0"/>
              <w:rPr>
                <w:sz w:val="1"/>
                <w:szCs w:val="1"/>
                <w:color w:val="auto"/>
              </w:rPr>
            </w:pPr>
          </w:p>
        </w:tc>
      </w:tr>
      <w:tr>
        <w:trPr>
          <w:trHeight w:val="305"/>
        </w:trPr>
        <w:tc>
          <w:tcPr>
            <w:tcW w:w="7640" w:type="dxa"/>
            <w:vAlign w:val="bottom"/>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4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operations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2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3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3"/>
                <w:szCs w:val="13"/>
                <w:color w:val="auto"/>
              </w:rPr>
            </w:pPr>
          </w:p>
        </w:tc>
      </w:tr>
      <w:tr>
        <w:trPr>
          <w:trHeight w:val="183"/>
        </w:trPr>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ind w:right="220"/>
              <w:spacing w:after="0"/>
              <w:rPr>
                <w:sz w:val="20"/>
                <w:szCs w:val="20"/>
                <w:color w:val="auto"/>
              </w:rPr>
            </w:pPr>
            <w:r>
              <w:rPr>
                <w:rFonts w:ascii="Arial" w:cs="Arial" w:eastAsia="Arial" w:hAnsi="Arial"/>
                <w:sz w:val="16"/>
                <w:szCs w:val="16"/>
                <w:b w:val="1"/>
                <w:bCs w:val="1"/>
                <w:color w:val="auto"/>
              </w:rPr>
              <w:t>356,057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153,135</w:t>
            </w:r>
          </w:p>
        </w:tc>
        <w:tc>
          <w:tcPr>
            <w:tcW w:w="5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0"/>
              <w:spacing w:after="0"/>
              <w:rPr>
                <w:sz w:val="20"/>
                <w:szCs w:val="20"/>
                <w:color w:val="auto"/>
              </w:rPr>
            </w:pPr>
            <w:r>
              <w:rPr>
                <w:rFonts w:ascii="Arial" w:cs="Arial" w:eastAsia="Arial" w:hAnsi="Arial"/>
                <w:sz w:val="16"/>
                <w:szCs w:val="16"/>
                <w:b w:val="1"/>
                <w:bCs w:val="1"/>
                <w:color w:val="auto"/>
              </w:rPr>
              <w:t>674,740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302,372</w:t>
            </w:r>
          </w:p>
        </w:tc>
        <w:tc>
          <w:tcPr>
            <w:tcW w:w="220" w:type="dxa"/>
            <w:vAlign w:val="bottom"/>
          </w:tcPr>
          <w:p>
            <w:pPr>
              <w:spacing w:after="0"/>
              <w:rPr>
                <w:sz w:val="16"/>
                <w:szCs w:val="16"/>
                <w:color w:val="auto"/>
              </w:rPr>
            </w:pP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600,846</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472,567</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1,146,606</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823,694</w:t>
            </w:r>
          </w:p>
        </w:tc>
        <w:tc>
          <w:tcPr>
            <w:tcW w:w="220" w:type="dxa"/>
            <w:vAlign w:val="bottom"/>
            <w:shd w:val="clear" w:color="auto" w:fill="CCEEFF"/>
          </w:tcPr>
          <w:p>
            <w:pPr>
              <w:spacing w:after="0"/>
              <w:rPr>
                <w:sz w:val="16"/>
                <w:szCs w:val="16"/>
                <w:color w:val="auto"/>
              </w:rPr>
            </w:pPr>
          </w:p>
        </w:tc>
      </w:tr>
      <w:tr>
        <w:trPr>
          <w:trHeight w:val="196"/>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939,392</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563,886</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1,661,131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991,882</w:t>
            </w:r>
          </w:p>
        </w:tc>
        <w:tc>
          <w:tcPr>
            <w:tcW w:w="220" w:type="dxa"/>
            <w:vAlign w:val="bottom"/>
            <w:tcBorders>
              <w:bottom w:val="single" w:sz="8" w:color="auto"/>
            </w:tcBorders>
          </w:tcPr>
          <w:p>
            <w:pPr>
              <w:spacing w:after="0"/>
              <w:rPr>
                <w:sz w:val="17"/>
                <w:szCs w:val="17"/>
                <w:color w:val="auto"/>
              </w:rPr>
            </w:pPr>
          </w:p>
        </w:tc>
      </w:tr>
      <w:tr>
        <w:trPr>
          <w:trHeight w:val="196"/>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costs and expenses</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1,896,295</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1,189,588</w:t>
            </w: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3,482,477</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2,117,948</w:t>
            </w:r>
          </w:p>
        </w:tc>
        <w:tc>
          <w:tcPr>
            <w:tcW w:w="220" w:type="dxa"/>
            <w:vAlign w:val="bottom"/>
            <w:tcBorders>
              <w:bottom w:val="single" w:sz="8" w:color="auto"/>
            </w:tcBorders>
            <w:shd w:val="clear" w:color="auto" w:fill="CCEEFF"/>
          </w:tcPr>
          <w:p>
            <w:pPr>
              <w:spacing w:after="0"/>
              <w:rPr>
                <w:sz w:val="17"/>
                <w:szCs w:val="17"/>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120" w:type="dxa"/>
            <w:vAlign w:val="bottom"/>
          </w:tcPr>
          <w:p>
            <w:pPr>
              <w:spacing w:after="0"/>
              <w:rPr>
                <w:sz w:val="16"/>
                <w:szCs w:val="16"/>
                <w:color w:val="auto"/>
              </w:rPr>
            </w:pP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auto"/>
              </w:rPr>
              <w:t>(1,896,295)</w:t>
            </w:r>
          </w:p>
        </w:tc>
        <w:tc>
          <w:tcPr>
            <w:tcW w:w="36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(1,189,588)</w:t>
            </w:r>
          </w:p>
        </w:tc>
        <w:tc>
          <w:tcPr>
            <w:tcW w:w="120" w:type="dxa"/>
            <w:vAlign w:val="bottom"/>
          </w:tcPr>
          <w:p>
            <w:pPr>
              <w:spacing w:after="0"/>
              <w:rPr>
                <w:sz w:val="16"/>
                <w:szCs w:val="16"/>
                <w:color w:val="auto"/>
              </w:rPr>
            </w:pP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auto"/>
              </w:rPr>
              <w:t>(3,482,477)</w:t>
            </w:r>
          </w:p>
        </w:tc>
        <w:tc>
          <w:tcPr>
            <w:tcW w:w="3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(2,117,948)</w:t>
            </w: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6"/>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income (expense), net</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6,024</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auto"/>
              </w:rPr>
              <w:t>2,602</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5,418</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(1,484)</w:t>
            </w:r>
          </w:p>
        </w:tc>
      </w:tr>
      <w:tr>
        <w:trPr>
          <w:trHeight w:val="196"/>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6,024</w:t>
            </w:r>
          </w:p>
        </w:tc>
        <w:tc>
          <w:tcPr>
            <w:tcW w:w="3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2,602</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5,418</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(1,484)</w:t>
            </w:r>
          </w:p>
        </w:tc>
      </w:tr>
      <w:tr>
        <w:trPr>
          <w:trHeight w:val="196"/>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(1,890,271)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(1,186,986)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(3,477,059)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(2,119,432)</w:t>
            </w: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6"/>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translation gain (loss)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(61,664)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43,911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(18,650)</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67,491</w:t>
            </w:r>
          </w:p>
        </w:tc>
        <w:tc>
          <w:tcPr>
            <w:tcW w:w="220" w:type="dxa"/>
            <w:vAlign w:val="bottom"/>
            <w:tcBorders>
              <w:bottom w:val="single" w:sz="8" w:color="auto"/>
            </w:tcBorders>
          </w:tcPr>
          <w:p>
            <w:pPr>
              <w:spacing w:after="0"/>
              <w:rPr>
                <w:sz w:val="17"/>
                <w:szCs w:val="17"/>
                <w:color w:val="auto"/>
              </w:rPr>
            </w:pPr>
          </w:p>
        </w:tc>
      </w:tr>
      <w:tr>
        <w:trPr>
          <w:trHeight w:val="196"/>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(61,664)</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43,911</w:t>
            </w: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(18,650)</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67,491</w:t>
            </w:r>
          </w:p>
        </w:tc>
        <w:tc>
          <w:tcPr>
            <w:tcW w:w="220" w:type="dxa"/>
            <w:vAlign w:val="bottom"/>
            <w:tcBorders>
              <w:bottom w:val="single" w:sz="8" w:color="auto"/>
            </w:tcBorders>
            <w:shd w:val="clear" w:color="auto" w:fill="CCEEFF"/>
          </w:tcPr>
          <w:p>
            <w:pPr>
              <w:spacing w:after="0"/>
              <w:rPr>
                <w:sz w:val="17"/>
                <w:szCs w:val="17"/>
                <w:color w:val="auto"/>
              </w:rPr>
            </w:pPr>
          </w:p>
        </w:tc>
      </w:tr>
      <w:tr>
        <w:trPr>
          <w:trHeight w:val="196"/>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(1,951,935)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(1,143,075)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(3,495,709)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(2,051,941)</w:t>
            </w:r>
          </w:p>
        </w:tc>
      </w:tr>
      <w:tr>
        <w:trPr>
          <w:trHeight w:val="95"/>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(0.01)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(0.03)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(0.02)</w:t>
            </w: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Weighted average number of common shares – basic and diluted</w:t>
            </w:r>
          </w:p>
        </w:tc>
        <w:tc>
          <w:tcPr>
            <w:tcW w:w="120" w:type="dxa"/>
            <w:vAlign w:val="bottom"/>
          </w:tcPr>
          <w:p>
            <w:pPr>
              <w:spacing w:after="0"/>
              <w:rPr>
                <w:sz w:val="18"/>
                <w:szCs w:val="18"/>
                <w:color w:val="auto"/>
              </w:rPr>
            </w:pPr>
          </w:p>
        </w:tc>
        <w:tc>
          <w:tcPr>
            <w:tcW w:w="1220" w:type="dxa"/>
            <w:vAlign w:val="bottom"/>
          </w:tcPr>
          <w:p>
            <w:pPr>
              <w:jc w:val="right"/>
              <w:ind w:right="220"/>
              <w:spacing w:after="0"/>
              <w:rPr>
                <w:sz w:val="20"/>
                <w:szCs w:val="20"/>
                <w:color w:val="auto"/>
              </w:rPr>
            </w:pPr>
            <w:r>
              <w:rPr>
                <w:rFonts w:ascii="Arial" w:cs="Arial" w:eastAsia="Arial" w:hAnsi="Arial"/>
                <w:sz w:val="16"/>
                <w:szCs w:val="16"/>
                <w:b w:val="1"/>
                <w:bCs w:val="1"/>
                <w:color w:val="auto"/>
              </w:rPr>
              <w:t>144,405,837</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125,240,254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20"/>
              <w:spacing w:after="0"/>
              <w:rPr>
                <w:sz w:val="20"/>
                <w:szCs w:val="20"/>
                <w:color w:val="auto"/>
              </w:rPr>
            </w:pPr>
            <w:r>
              <w:rPr>
                <w:rFonts w:ascii="Arial" w:cs="Arial" w:eastAsia="Arial" w:hAnsi="Arial"/>
                <w:sz w:val="16"/>
                <w:szCs w:val="16"/>
                <w:b w:val="1"/>
                <w:bCs w:val="1"/>
                <w:color w:val="auto"/>
              </w:rPr>
              <w:t>136,173,414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120,613,246</w:t>
            </w:r>
          </w:p>
        </w:tc>
        <w:tc>
          <w:tcPr>
            <w:tcW w:w="220" w:type="dxa"/>
            <w:vAlign w:val="bottom"/>
          </w:tcPr>
          <w:p>
            <w:pPr>
              <w:spacing w:after="0"/>
              <w:rPr>
                <w:sz w:val="18"/>
                <w:szCs w:val="18"/>
                <w:color w:val="auto"/>
              </w:rPr>
            </w:pPr>
          </w:p>
        </w:tc>
      </w:tr>
      <w:tr>
        <w:trPr>
          <w:trHeight w:val="279"/>
        </w:trPr>
        <w:tc>
          <w:tcPr>
            <w:tcW w:w="5360" w:type="dxa"/>
            <w:vAlign w:val="bottom"/>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8"/>
        </w:trPr>
        <w:tc>
          <w:tcPr>
            <w:tcW w:w="536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F-3</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cash flows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Six Months Ended June 30,</w:t>
            </w:r>
          </w:p>
        </w:tc>
        <w:tc>
          <w:tcPr>
            <w:tcW w:w="1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2013</w:t>
            </w: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Net loss</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(3,477,059)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(2,119,432)</w:t>
            </w: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Adjustment to reconcile net loss to net cash used in operating activities:</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94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75,881</w:t>
            </w:r>
          </w:p>
        </w:tc>
        <w:tc>
          <w:tcPr>
            <w:tcW w:w="36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73,338</w:t>
            </w: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153,448</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32,770</w:t>
            </w: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25,089</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(45,416)</w:t>
            </w: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194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14,091</w:t>
            </w:r>
          </w:p>
        </w:tc>
        <w:tc>
          <w:tcPr>
            <w:tcW w:w="3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(208,316)</w:t>
            </w:r>
          </w:p>
        </w:tc>
      </w:tr>
      <w:tr>
        <w:trPr>
          <w:trHeight w:val="189"/>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19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24,059</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81,156</w:t>
            </w:r>
          </w:p>
        </w:tc>
      </w:tr>
      <w:tr>
        <w:trPr>
          <w:trHeight w:val="183"/>
        </w:trPr>
        <w:tc>
          <w:tcPr>
            <w:tcW w:w="6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1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(3,184,491)</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(2,185,900)</w:t>
            </w: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Investing activities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Purchases of equipment</w:t>
            </w:r>
          </w:p>
        </w:tc>
        <w:tc>
          <w:tcPr>
            <w:tcW w:w="1940" w:type="dxa"/>
            <w:vAlign w:val="bottom"/>
          </w:tcPr>
          <w:p>
            <w:pPr>
              <w:spacing w:after="0"/>
              <w:rPr>
                <w:sz w:val="16"/>
                <w:szCs w:val="16"/>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(47,740)</w:t>
            </w:r>
          </w:p>
        </w:tc>
        <w:tc>
          <w:tcPr>
            <w:tcW w:w="3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(43,370)</w:t>
            </w: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Paid out (reinvested) interest on certificate of deposit</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r>
      <w:tr>
        <w:trPr>
          <w:trHeight w:val="189"/>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Payment of patent costs</w:t>
            </w:r>
          </w:p>
        </w:tc>
        <w:tc>
          <w:tcPr>
            <w:tcW w:w="1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(21,197)</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(16,953)</w:t>
            </w:r>
          </w:p>
        </w:tc>
      </w:tr>
      <w:tr>
        <w:trPr>
          <w:trHeight w:val="183"/>
        </w:trPr>
        <w:tc>
          <w:tcPr>
            <w:tcW w:w="69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9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6"/>
                <w:szCs w:val="16"/>
                <w:b w:val="1"/>
                <w:bCs w:val="1"/>
                <w:color w:val="auto"/>
              </w:rPr>
              <w:t>(68,937)</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(60,329)</w:t>
            </w:r>
          </w:p>
        </w:tc>
      </w:tr>
      <w:tr>
        <w:trPr>
          <w:trHeight w:val="183"/>
        </w:trPr>
        <w:tc>
          <w:tcPr>
            <w:tcW w:w="6900" w:type="dxa"/>
            <w:vAlign w:val="bottom"/>
          </w:tcPr>
          <w:p>
            <w:pPr>
              <w:spacing w:after="0" w:line="183" w:lineRule="exact"/>
              <w:rPr>
                <w:sz w:val="20"/>
                <w:szCs w:val="20"/>
                <w:color w:val="auto"/>
              </w:rPr>
            </w:pPr>
            <w:r>
              <w:rPr>
                <w:rFonts w:ascii="Arial" w:cs="Arial" w:eastAsia="Arial" w:hAnsi="Arial"/>
                <w:sz w:val="16"/>
                <w:szCs w:val="16"/>
                <w:b w:val="1"/>
                <w:bCs w:val="1"/>
                <w:color w:val="auto"/>
              </w:rPr>
              <w:t>Financing activities</w:t>
            </w:r>
          </w:p>
        </w:tc>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bridge loan</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300,000</w:t>
            </w: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Repayment of bridge loan</w:t>
            </w:r>
          </w:p>
        </w:tc>
        <w:tc>
          <w:tcPr>
            <w:tcW w:w="194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(500,000)</w:t>
            </w: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long-term debt</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268,492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342,820</w:t>
            </w: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Repayment of other term debt</w:t>
            </w:r>
          </w:p>
        </w:tc>
        <w:tc>
          <w:tcPr>
            <w:tcW w:w="194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(34,523)</w:t>
            </w:r>
          </w:p>
        </w:tc>
      </w:tr>
      <w:tr>
        <w:trPr>
          <w:trHeight w:val="18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common stock, net</w:t>
            </w:r>
          </w:p>
        </w:tc>
        <w:tc>
          <w:tcPr>
            <w:tcW w:w="1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9,743,487</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5,725,607</w:t>
            </w:r>
          </w:p>
        </w:tc>
      </w:tr>
      <w:tr>
        <w:trPr>
          <w:trHeight w:val="189"/>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Proceeds from exercise of stock options</w:t>
            </w:r>
          </w:p>
        </w:tc>
        <w:tc>
          <w:tcPr>
            <w:tcW w:w="1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6,000</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4,000</w:t>
            </w:r>
          </w:p>
        </w:tc>
      </w:tr>
      <w:tr>
        <w:trPr>
          <w:trHeight w:val="183"/>
        </w:trPr>
        <w:tc>
          <w:tcPr>
            <w:tcW w:w="69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9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59"/>
              <w:spacing w:after="0" w:line="183" w:lineRule="exact"/>
              <w:rPr>
                <w:sz w:val="20"/>
                <w:szCs w:val="20"/>
                <w:color w:val="auto"/>
              </w:rPr>
            </w:pPr>
            <w:r>
              <w:rPr>
                <w:rFonts w:ascii="Arial" w:cs="Arial" w:eastAsia="Arial" w:hAnsi="Arial"/>
                <w:sz w:val="16"/>
                <w:szCs w:val="16"/>
                <w:b w:val="1"/>
                <w:bCs w:val="1"/>
                <w:color w:val="auto"/>
              </w:rPr>
              <w:t>10,017,979</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5,837,904</w:t>
            </w:r>
          </w:p>
        </w:tc>
      </w:tr>
      <w:tr>
        <w:trPr>
          <w:trHeight w:val="183"/>
        </w:trPr>
        <w:tc>
          <w:tcPr>
            <w:tcW w:w="6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(14,658)</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356</w:t>
            </w: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increase in cash and cash equivalents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59"/>
              <w:spacing w:after="0" w:line="183" w:lineRule="exact"/>
              <w:rPr>
                <w:sz w:val="20"/>
                <w:szCs w:val="20"/>
                <w:color w:val="auto"/>
              </w:rPr>
            </w:pPr>
            <w:r>
              <w:rPr>
                <w:rFonts w:ascii="Arial" w:cs="Arial" w:eastAsia="Arial" w:hAnsi="Arial"/>
                <w:sz w:val="16"/>
                <w:szCs w:val="16"/>
                <w:b w:val="1"/>
                <w:bCs w:val="1"/>
                <w:color w:val="auto"/>
              </w:rPr>
              <w:t>6,749,893</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3,592,031</w:t>
            </w:r>
          </w:p>
        </w:tc>
      </w:tr>
      <w:tr>
        <w:trPr>
          <w:trHeight w:val="189"/>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1,875,749</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348,521</w:t>
            </w:r>
          </w:p>
        </w:tc>
      </w:tr>
      <w:tr>
        <w:trPr>
          <w:trHeight w:val="190"/>
        </w:trPr>
        <w:tc>
          <w:tcPr>
            <w:tcW w:w="69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159"/>
              <w:spacing w:after="0" w:line="183" w:lineRule="exact"/>
              <w:rPr>
                <w:sz w:val="20"/>
                <w:szCs w:val="20"/>
                <w:color w:val="auto"/>
              </w:rPr>
            </w:pPr>
            <w:r>
              <w:rPr>
                <w:rFonts w:ascii="Arial" w:cs="Arial" w:eastAsia="Arial" w:hAnsi="Arial"/>
                <w:sz w:val="16"/>
                <w:szCs w:val="16"/>
                <w:b w:val="1"/>
                <w:bCs w:val="1"/>
                <w:color w:val="auto"/>
              </w:rPr>
              <w:t>8,625,642</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3,940,552</w:t>
            </w:r>
          </w:p>
        </w:tc>
      </w:tr>
      <w:tr>
        <w:trPr>
          <w:trHeight w:val="189"/>
        </w:trPr>
        <w:tc>
          <w:tcPr>
            <w:tcW w:w="690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paid in cash</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3,568</w:t>
            </w:r>
          </w:p>
        </w:tc>
      </w:tr>
      <w:tr>
        <w:trPr>
          <w:trHeight w:val="305"/>
        </w:trPr>
        <w:tc>
          <w:tcPr>
            <w:tcW w:w="6900" w:type="dxa"/>
            <w:vAlign w:val="bottom"/>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8"/>
        </w:trPr>
        <w:tc>
          <w:tcPr>
            <w:tcW w:w="690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F-4</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2014 and 2013 (unaudited)</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 and organization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Nature of business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AquaBounty Technologies, Inc. (the “Parent”) was incorporated in December 1991 in the State of Delaware for the purpose of conducting research and development of the commercial viability of a group of proteins commonly known as antifreeze proteins (AFPs). In 1996, the Parent obtained the exclusive licensing rights for a gene construct (transgene) used to create a breed of farm-raised Atlantic salmon that exhibit growth rates that are substantially faster than traditional salmon.</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AquaBounty Canada, Inc. (the “Canadian Subsidiary”) was incorporated in January 1994 in Canada for the purpose of establishing a commercial biotechnology laboratory to produce antifreeze proteins and to conduct research and development programs related to the commercialization of cryopreservatives and the antifreeze gene construct.</w:t>
      </w:r>
    </w:p>
    <w:p>
      <w:pPr>
        <w:spacing w:after="0" w:line="93"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AquaBounty Panama, S. de R.L. (the “Panama Subsidiary”) was incorporated in May 2008 in Panama for the purpose of conducting commercial trials of the Company’s AquAdvantage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Salmon.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accompanying unaudited consolidated financial statements have been prepared in conformity with generally accepted accounting principles in the United States (“GAAP”) consistent with those applied in, and should be read in conjunction with, the Company’s audited financial statements and related footnotes for the year ended December 31, 2013 included in the Company’s Form 10 as filed with the United States Securities and Exchange Commission (“SEC”) on April 25, 2014. The unaudited consolidated financial statements reflect all adjustments, consisting only of normal recurring adjustments, which are, in the opinion of management, necessary for a fair presentation of the Company’s financial position as of June 30, 2014 and its results of operations and cash flows for the interim periods presented and are not necessarily indicative of results for subsequent interim periods or for the full year. The interim financial statements do not include all of the information and footnotes required by GAAP for complete financial statements as allowed by the relevant SEC rules and regulations; however, the Company believes that its disclosures are adequate to ensure that the information presented is not misleading.</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Risks and uncertainties</w:t>
      </w:r>
    </w:p>
    <w:p>
      <w:pPr>
        <w:spacing w:after="0" w:line="13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Company is subject to risks and uncertainties common in the biotechnology and aquaculture industries. Such risks and uncertainties include, but are not limited to: (i) results from current and planned product development studies and trials; (ii) decisions made by the FDA or similar regulatory bodies in other countries with respect to approval and commercial sale of any of the Company’s proposed products; (iii) the commercial acceptance of any products approved for sale and the Company’s ability to manufacture, distribute and sell for a profit any products approved for sale; (iv) the Company’s ability to obtain the necessary patents and proprietary rights to effectively protect its technologies; and (v) the outcome of any collaborations or alliances entered into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Financial instruments which potentially subject the Company to credit risk consist principally of cash equivalents and marketable securities. This risk is minimized by the Company’s policy of investing in financial instruments with short-term maturities issued by highly rated financial institutions. The Company’s cash balances may at times exceed insurance limitations.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Management’s Plan</w:t>
      </w:r>
    </w:p>
    <w:p>
      <w:pPr>
        <w:spacing w:after="0" w:line="25"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The Company has recurring net losses and has relied on its fundraising efforts to finance its operations and will continue to do so until such time that the Company is able to achieve positive cash flows from operations. In March 2014, the Company closed on a fundraising resulting in net proceeds to the Company of approximately $9.7 million (see Note 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00" w:type="dxa"/>
            <w:vAlign w:val="bottom"/>
          </w:tcPr>
          <w:p>
            <w:pPr>
              <w:ind w:left="3560"/>
              <w:spacing w:after="0"/>
              <w:rPr>
                <w:sz w:val="20"/>
                <w:szCs w:val="20"/>
                <w:color w:val="auto"/>
              </w:rPr>
            </w:pPr>
            <w:r>
              <w:rPr>
                <w:rFonts w:ascii="Arial" w:cs="Arial" w:eastAsia="Arial" w:hAnsi="Arial"/>
                <w:sz w:val="16"/>
                <w:szCs w:val="16"/>
                <w:color w:val="auto"/>
                <w:w w:val="91"/>
              </w:rPr>
              <w:t>F-5</w:t>
            </w: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Property, plant and equipment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Major classifications of property, plant and equipment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2"/>
          </w:tcPr>
          <w:p>
            <w:pPr>
              <w:ind w:left="2240"/>
              <w:spacing w:after="0"/>
              <w:rPr>
                <w:sz w:val="20"/>
                <w:szCs w:val="20"/>
                <w:color w:val="auto"/>
              </w:rPr>
            </w:pPr>
            <w:r>
              <w:rPr>
                <w:rFonts w:ascii="Arial" w:cs="Arial" w:eastAsia="Arial" w:hAnsi="Arial"/>
                <w:sz w:val="14"/>
                <w:szCs w:val="14"/>
                <w:b w:val="1"/>
                <w:bCs w:val="1"/>
                <w:color w:val="auto"/>
              </w:rPr>
              <w:t>June 30, 2014</w:t>
            </w:r>
          </w:p>
        </w:tc>
        <w:tc>
          <w:tcPr>
            <w:tcW w:w="20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December 31, 2013</w:t>
            </w:r>
          </w:p>
        </w:tc>
      </w:tr>
      <w:tr>
        <w:trPr>
          <w:trHeight w:val="183"/>
        </w:trPr>
        <w:tc>
          <w:tcPr>
            <w:tcW w:w="57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w:t>
            </w:r>
          </w:p>
        </w:tc>
        <w:tc>
          <w:tcPr>
            <w:tcW w:w="2360" w:type="dxa"/>
            <w:vAlign w:val="bottom"/>
            <w:shd w:val="clear" w:color="auto" w:fill="CCEEFF"/>
          </w:tcPr>
          <w:p>
            <w:pPr>
              <w:ind w:left="2240"/>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399"/>
              <w:spacing w:after="0" w:line="183" w:lineRule="exact"/>
              <w:rPr>
                <w:sz w:val="20"/>
                <w:szCs w:val="20"/>
                <w:color w:val="auto"/>
              </w:rPr>
            </w:pPr>
            <w:r>
              <w:rPr>
                <w:rFonts w:ascii="Arial" w:cs="Arial" w:eastAsia="Arial" w:hAnsi="Arial"/>
                <w:sz w:val="16"/>
                <w:szCs w:val="16"/>
                <w:b w:val="1"/>
                <w:bCs w:val="1"/>
                <w:color w:val="auto"/>
              </w:rPr>
              <w:t>95,098</w:t>
            </w:r>
          </w:p>
        </w:tc>
        <w:tc>
          <w:tcPr>
            <w:tcW w:w="700" w:type="dxa"/>
            <w:vAlign w:val="bottom"/>
            <w:shd w:val="clear" w:color="auto" w:fill="CCEEFF"/>
          </w:tcPr>
          <w:p>
            <w:pPr>
              <w:ind w:left="42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94,875</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Building and improvements</w:t>
            </w:r>
          </w:p>
        </w:tc>
        <w:tc>
          <w:tcPr>
            <w:tcW w:w="236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1,475,347</w:t>
            </w:r>
          </w:p>
        </w:tc>
        <w:tc>
          <w:tcPr>
            <w:tcW w:w="70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1,471,883</w:t>
            </w:r>
          </w:p>
        </w:tc>
      </w:tr>
      <w:tr>
        <w:trPr>
          <w:trHeight w:val="189"/>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Equipment</w:t>
            </w:r>
          </w:p>
        </w:tc>
        <w:tc>
          <w:tcPr>
            <w:tcW w:w="2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629,021</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615,362</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236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63,939</w:t>
            </w:r>
          </w:p>
        </w:tc>
        <w:tc>
          <w:tcPr>
            <w:tcW w:w="70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27,613</w:t>
            </w:r>
          </w:p>
        </w:tc>
      </w:tr>
      <w:tr>
        <w:trPr>
          <w:trHeight w:val="189"/>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Vehicles</w:t>
            </w:r>
          </w:p>
        </w:tc>
        <w:tc>
          <w:tcPr>
            <w:tcW w:w="2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13,483</w:t>
            </w:r>
          </w:p>
        </w:tc>
        <w:tc>
          <w:tcPr>
            <w:tcW w:w="7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13,451</w:t>
            </w:r>
          </w:p>
        </w:tc>
      </w:tr>
      <w:tr>
        <w:trPr>
          <w:trHeight w:val="183"/>
        </w:trPr>
        <w:tc>
          <w:tcPr>
            <w:tcW w:w="5740" w:type="dxa"/>
            <w:vAlign w:val="bottom"/>
          </w:tcPr>
          <w:p>
            <w:pPr>
              <w:spacing w:after="0" w:line="183" w:lineRule="exact"/>
              <w:rPr>
                <w:sz w:val="20"/>
                <w:szCs w:val="20"/>
                <w:color w:val="auto"/>
              </w:rPr>
            </w:pPr>
            <w:r>
              <w:rPr>
                <w:rFonts w:ascii="Arial" w:cs="Arial" w:eastAsia="Arial" w:hAnsi="Arial"/>
                <w:sz w:val="16"/>
                <w:szCs w:val="16"/>
                <w:color w:val="auto"/>
              </w:rPr>
              <w:t>Total property and equipment</w:t>
            </w:r>
          </w:p>
        </w:tc>
        <w:tc>
          <w:tcPr>
            <w:tcW w:w="2360" w:type="dxa"/>
            <w:vAlign w:val="bottom"/>
          </w:tcPr>
          <w:p>
            <w:pPr>
              <w:ind w:left="2240"/>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399"/>
              <w:spacing w:after="0" w:line="183" w:lineRule="exact"/>
              <w:rPr>
                <w:sz w:val="20"/>
                <w:szCs w:val="20"/>
                <w:color w:val="auto"/>
              </w:rPr>
            </w:pPr>
            <w:r>
              <w:rPr>
                <w:rFonts w:ascii="Arial" w:cs="Arial" w:eastAsia="Arial" w:hAnsi="Arial"/>
                <w:sz w:val="16"/>
                <w:szCs w:val="16"/>
                <w:b w:val="1"/>
                <w:bCs w:val="1"/>
                <w:color w:val="auto"/>
              </w:rPr>
              <w:t>2,276,888</w:t>
            </w:r>
          </w:p>
        </w:tc>
        <w:tc>
          <w:tcPr>
            <w:tcW w:w="700" w:type="dxa"/>
            <w:vAlign w:val="bottom"/>
          </w:tcPr>
          <w:p>
            <w:pPr>
              <w:ind w:left="42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2,223,184</w:t>
            </w:r>
          </w:p>
        </w:tc>
      </w:tr>
      <w:tr>
        <w:trPr>
          <w:trHeight w:val="189"/>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(1,280,348)</w:t>
            </w:r>
          </w:p>
        </w:tc>
        <w:tc>
          <w:tcPr>
            <w:tcW w:w="7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(1,206,341)</w:t>
            </w:r>
          </w:p>
        </w:tc>
      </w:tr>
      <w:tr>
        <w:trPr>
          <w:trHeight w:val="208"/>
        </w:trPr>
        <w:tc>
          <w:tcPr>
            <w:tcW w:w="574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360" w:type="dxa"/>
            <w:vAlign w:val="bottom"/>
          </w:tcPr>
          <w:p>
            <w:pPr>
              <w:ind w:left="224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996,540</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1,016,843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Depreciation and amortization expense was $75,881 and $70,363 for the six months ended June 30, 2014 and 2013,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Definite lived intangible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definite lived intangible assets: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2"/>
          </w:tcPr>
          <w:p>
            <w:pPr>
              <w:ind w:left="2620"/>
              <w:spacing w:after="0"/>
              <w:rPr>
                <w:sz w:val="20"/>
                <w:szCs w:val="20"/>
                <w:color w:val="auto"/>
              </w:rPr>
            </w:pPr>
            <w:r>
              <w:rPr>
                <w:rFonts w:ascii="Arial" w:cs="Arial" w:eastAsia="Arial" w:hAnsi="Arial"/>
                <w:sz w:val="14"/>
                <w:szCs w:val="14"/>
                <w:b w:val="1"/>
                <w:bCs w:val="1"/>
                <w:color w:val="auto"/>
              </w:rPr>
              <w:t>June 30, 2014</w:t>
            </w:r>
          </w:p>
        </w:tc>
        <w:tc>
          <w:tcPr>
            <w:tcW w:w="21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December 31, 2013</w:t>
            </w:r>
          </w:p>
        </w:tc>
      </w:tr>
      <w:tr>
        <w:trPr>
          <w:trHeight w:val="183"/>
        </w:trPr>
        <w:tc>
          <w:tcPr>
            <w:tcW w:w="5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Patents, gross</w:t>
            </w:r>
          </w:p>
        </w:tc>
        <w:tc>
          <w:tcPr>
            <w:tcW w:w="2840" w:type="dxa"/>
            <w:vAlign w:val="bottom"/>
            <w:shd w:val="clear" w:color="auto" w:fill="CCEEFF"/>
          </w:tcPr>
          <w:p>
            <w:pPr>
              <w:ind w:left="2600"/>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459"/>
              <w:spacing w:after="0" w:line="183" w:lineRule="exact"/>
              <w:rPr>
                <w:sz w:val="20"/>
                <w:szCs w:val="20"/>
                <w:color w:val="auto"/>
              </w:rPr>
            </w:pPr>
            <w:r>
              <w:rPr>
                <w:rFonts w:ascii="Arial" w:cs="Arial" w:eastAsia="Arial" w:hAnsi="Arial"/>
                <w:sz w:val="16"/>
                <w:szCs w:val="16"/>
                <w:b w:val="1"/>
                <w:bCs w:val="1"/>
                <w:color w:val="auto"/>
              </w:rPr>
              <w:t>167,190</w:t>
            </w:r>
          </w:p>
        </w:tc>
        <w:tc>
          <w:tcPr>
            <w:tcW w:w="880" w:type="dxa"/>
            <w:vAlign w:val="bottom"/>
            <w:shd w:val="clear" w:color="auto" w:fill="CCEEFF"/>
          </w:tcPr>
          <w:p>
            <w:pPr>
              <w:ind w:left="50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39"/>
              <w:spacing w:after="0" w:line="183" w:lineRule="exact"/>
              <w:rPr>
                <w:sz w:val="20"/>
                <w:szCs w:val="20"/>
                <w:color w:val="auto"/>
              </w:rPr>
            </w:pPr>
            <w:r>
              <w:rPr>
                <w:rFonts w:ascii="Arial" w:cs="Arial" w:eastAsia="Arial" w:hAnsi="Arial"/>
                <w:sz w:val="16"/>
                <w:szCs w:val="16"/>
                <w:color w:val="auto"/>
              </w:rPr>
              <w:t>145,993</w:t>
            </w:r>
          </w:p>
        </w:tc>
      </w:tr>
      <w:tr>
        <w:trPr>
          <w:trHeight w:val="189"/>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amortization</w:t>
            </w:r>
          </w:p>
        </w:tc>
        <w:tc>
          <w:tcPr>
            <w:tcW w:w="2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(4,214)</w:t>
            </w: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(4,214)</w:t>
            </w:r>
          </w:p>
        </w:tc>
      </w:tr>
      <w:tr>
        <w:trPr>
          <w:trHeight w:val="183"/>
        </w:trPr>
        <w:tc>
          <w:tcPr>
            <w:tcW w:w="5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Patents, net</w:t>
            </w:r>
          </w:p>
        </w:tc>
        <w:tc>
          <w:tcPr>
            <w:tcW w:w="2840" w:type="dxa"/>
            <w:vAlign w:val="bottom"/>
            <w:tcBorders>
              <w:bottom w:val="single" w:sz="8" w:color="auto"/>
            </w:tcBorders>
            <w:shd w:val="clear" w:color="auto" w:fill="CCEEFF"/>
          </w:tcPr>
          <w:p>
            <w:pPr>
              <w:ind w:left="2600"/>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459"/>
              <w:spacing w:after="0" w:line="183" w:lineRule="exact"/>
              <w:rPr>
                <w:sz w:val="20"/>
                <w:szCs w:val="20"/>
                <w:color w:val="auto"/>
              </w:rPr>
            </w:pPr>
            <w:r>
              <w:rPr>
                <w:rFonts w:ascii="Arial" w:cs="Arial" w:eastAsia="Arial" w:hAnsi="Arial"/>
                <w:sz w:val="16"/>
                <w:szCs w:val="16"/>
                <w:b w:val="1"/>
                <w:bCs w:val="1"/>
                <w:color w:val="auto"/>
              </w:rPr>
              <w:t>162,976</w:t>
            </w:r>
          </w:p>
        </w:tc>
        <w:tc>
          <w:tcPr>
            <w:tcW w:w="88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39"/>
              <w:spacing w:after="0" w:line="183" w:lineRule="exact"/>
              <w:rPr>
                <w:sz w:val="20"/>
                <w:szCs w:val="20"/>
                <w:color w:val="auto"/>
              </w:rPr>
            </w:pPr>
            <w:r>
              <w:rPr>
                <w:rFonts w:ascii="Arial" w:cs="Arial" w:eastAsia="Arial" w:hAnsi="Arial"/>
                <w:sz w:val="16"/>
                <w:szCs w:val="16"/>
                <w:color w:val="auto"/>
              </w:rPr>
              <w:t>141,779</w:t>
            </w:r>
          </w:p>
        </w:tc>
      </w:tr>
      <w:tr>
        <w:trPr>
          <w:trHeight w:val="183"/>
        </w:trPr>
        <w:tc>
          <w:tcPr>
            <w:tcW w:w="5140" w:type="dxa"/>
            <w:vAlign w:val="bottom"/>
          </w:tcPr>
          <w:p>
            <w:pPr>
              <w:spacing w:after="0" w:line="183" w:lineRule="exact"/>
              <w:rPr>
                <w:sz w:val="20"/>
                <w:szCs w:val="20"/>
                <w:color w:val="auto"/>
              </w:rPr>
            </w:pPr>
            <w:r>
              <w:rPr>
                <w:rFonts w:ascii="Arial" w:cs="Arial" w:eastAsia="Arial" w:hAnsi="Arial"/>
                <w:sz w:val="16"/>
                <w:szCs w:val="16"/>
                <w:color w:val="auto"/>
              </w:rPr>
              <w:t>Licenses, gross</w:t>
            </w:r>
          </w:p>
        </w:tc>
        <w:tc>
          <w:tcPr>
            <w:tcW w:w="2840" w:type="dxa"/>
            <w:vAlign w:val="bottom"/>
          </w:tcPr>
          <w:p>
            <w:pPr>
              <w:spacing w:after="0"/>
              <w:rPr>
                <w:sz w:val="15"/>
                <w:szCs w:val="15"/>
                <w:color w:val="auto"/>
              </w:rPr>
            </w:pPr>
          </w:p>
        </w:tc>
        <w:tc>
          <w:tcPr>
            <w:tcW w:w="1260" w:type="dxa"/>
            <w:vAlign w:val="bottom"/>
          </w:tcPr>
          <w:p>
            <w:pPr>
              <w:jc w:val="right"/>
              <w:ind w:right="459"/>
              <w:spacing w:after="0" w:line="183" w:lineRule="exact"/>
              <w:rPr>
                <w:sz w:val="20"/>
                <w:szCs w:val="20"/>
                <w:color w:val="auto"/>
              </w:rPr>
            </w:pPr>
            <w:r>
              <w:rPr>
                <w:rFonts w:ascii="Arial" w:cs="Arial" w:eastAsia="Arial" w:hAnsi="Arial"/>
                <w:sz w:val="16"/>
                <w:szCs w:val="16"/>
                <w:b w:val="1"/>
                <w:bCs w:val="1"/>
                <w:color w:val="auto"/>
              </w:rPr>
              <w:t>30,000</w:t>
            </w:r>
          </w:p>
        </w:tc>
        <w:tc>
          <w:tcPr>
            <w:tcW w:w="880" w:type="dxa"/>
            <w:vAlign w:val="bottom"/>
          </w:tcPr>
          <w:p>
            <w:pPr>
              <w:spacing w:after="0"/>
              <w:rPr>
                <w:sz w:val="15"/>
                <w:szCs w:val="15"/>
                <w:color w:val="auto"/>
              </w:rPr>
            </w:pPr>
          </w:p>
        </w:tc>
        <w:tc>
          <w:tcPr>
            <w:tcW w:w="1300" w:type="dxa"/>
            <w:vAlign w:val="bottom"/>
          </w:tcPr>
          <w:p>
            <w:pPr>
              <w:jc w:val="right"/>
              <w:ind w:right="339"/>
              <w:spacing w:after="0" w:line="183" w:lineRule="exact"/>
              <w:rPr>
                <w:sz w:val="20"/>
                <w:szCs w:val="20"/>
                <w:color w:val="auto"/>
              </w:rPr>
            </w:pPr>
            <w:r>
              <w:rPr>
                <w:rFonts w:ascii="Arial" w:cs="Arial" w:eastAsia="Arial" w:hAnsi="Arial"/>
                <w:sz w:val="16"/>
                <w:szCs w:val="16"/>
                <w:color w:val="auto"/>
              </w:rPr>
              <w:t>30,000</w:t>
            </w:r>
          </w:p>
        </w:tc>
      </w:tr>
      <w:tr>
        <w:trPr>
          <w:trHeight w:val="189"/>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accumulated amortization</w:t>
            </w:r>
          </w:p>
        </w:tc>
        <w:tc>
          <w:tcPr>
            <w:tcW w:w="28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(30,000)</w:t>
            </w:r>
          </w:p>
        </w:tc>
        <w:tc>
          <w:tcPr>
            <w:tcW w:w="8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(30,000)</w:t>
            </w:r>
          </w:p>
        </w:tc>
      </w:tr>
      <w:tr>
        <w:trPr>
          <w:trHeight w:val="183"/>
        </w:trPr>
        <w:tc>
          <w:tcPr>
            <w:tcW w:w="5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Licenses, net</w:t>
            </w:r>
          </w:p>
        </w:tc>
        <w:tc>
          <w:tcPr>
            <w:tcW w:w="2840" w:type="dxa"/>
            <w:vAlign w:val="bottom"/>
            <w:tcBorders>
              <w:bottom w:val="single" w:sz="8" w:color="auto"/>
            </w:tcBorders>
          </w:tcPr>
          <w:p>
            <w:pPr>
              <w:ind w:left="2600"/>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w:t>
            </w:r>
          </w:p>
        </w:tc>
      </w:tr>
      <w:tr>
        <w:trPr>
          <w:trHeight w:val="190"/>
        </w:trPr>
        <w:tc>
          <w:tcPr>
            <w:tcW w:w="5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definite lived intangible assets</w:t>
            </w:r>
          </w:p>
        </w:tc>
        <w:tc>
          <w:tcPr>
            <w:tcW w:w="2840" w:type="dxa"/>
            <w:vAlign w:val="bottom"/>
            <w:tcBorders>
              <w:bottom w:val="single" w:sz="8" w:color="auto"/>
            </w:tcBorders>
            <w:shd w:val="clear" w:color="auto" w:fill="CCEEFF"/>
          </w:tcPr>
          <w:p>
            <w:pPr>
              <w:ind w:left="2600"/>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459"/>
              <w:spacing w:after="0" w:line="183" w:lineRule="exact"/>
              <w:rPr>
                <w:sz w:val="20"/>
                <w:szCs w:val="20"/>
                <w:color w:val="auto"/>
              </w:rPr>
            </w:pPr>
            <w:r>
              <w:rPr>
                <w:rFonts w:ascii="Arial" w:cs="Arial" w:eastAsia="Arial" w:hAnsi="Arial"/>
                <w:sz w:val="16"/>
                <w:szCs w:val="16"/>
                <w:b w:val="1"/>
                <w:bCs w:val="1"/>
                <w:color w:val="auto"/>
              </w:rPr>
              <w:t>162,976</w:t>
            </w:r>
          </w:p>
        </w:tc>
        <w:tc>
          <w:tcPr>
            <w:tcW w:w="88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39"/>
              <w:spacing w:after="0" w:line="183" w:lineRule="exact"/>
              <w:rPr>
                <w:sz w:val="20"/>
                <w:szCs w:val="20"/>
                <w:color w:val="auto"/>
              </w:rPr>
            </w:pPr>
            <w:r>
              <w:rPr>
                <w:rFonts w:ascii="Arial" w:cs="Arial" w:eastAsia="Arial" w:hAnsi="Arial"/>
                <w:sz w:val="16"/>
                <w:szCs w:val="16"/>
                <w:color w:val="auto"/>
              </w:rPr>
              <w:t>141,779</w:t>
            </w:r>
          </w:p>
        </w:tc>
      </w:tr>
    </w:tbl>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Patent amortization expense was $nil and $2,975 for the six months ended June 30, 2014 and 2013, respectively. Gross patent costs include $162,976 that have not yet begun to amortize as the patent has not yet been issued.</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Prepaid expenses and other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assets include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2"/>
          </w:tcPr>
          <w:p>
            <w:pPr>
              <w:ind w:left="2400"/>
              <w:spacing w:after="0"/>
              <w:rPr>
                <w:sz w:val="20"/>
                <w:szCs w:val="20"/>
                <w:color w:val="auto"/>
              </w:rPr>
            </w:pPr>
            <w:r>
              <w:rPr>
                <w:rFonts w:ascii="Arial" w:cs="Arial" w:eastAsia="Arial" w:hAnsi="Arial"/>
                <w:sz w:val="14"/>
                <w:szCs w:val="14"/>
                <w:b w:val="1"/>
                <w:bCs w:val="1"/>
                <w:color w:val="auto"/>
              </w:rPr>
              <w:t>June 30, 2014</w:t>
            </w:r>
          </w:p>
        </w:tc>
        <w:tc>
          <w:tcPr>
            <w:tcW w:w="21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December 31, 2013</w:t>
            </w:r>
          </w:p>
        </w:tc>
      </w:tr>
      <w:tr>
        <w:trPr>
          <w:trHeight w:val="183"/>
        </w:trPr>
        <w:tc>
          <w:tcPr>
            <w:tcW w:w="5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Prepaid insurance</w:t>
            </w:r>
          </w:p>
        </w:tc>
        <w:tc>
          <w:tcPr>
            <w:tcW w:w="2620" w:type="dxa"/>
            <w:vAlign w:val="bottom"/>
            <w:shd w:val="clear" w:color="auto" w:fill="CCEEFF"/>
          </w:tcPr>
          <w:p>
            <w:pPr>
              <w:ind w:left="238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339"/>
              <w:spacing w:after="0" w:line="183" w:lineRule="exact"/>
              <w:rPr>
                <w:sz w:val="20"/>
                <w:szCs w:val="20"/>
                <w:color w:val="auto"/>
              </w:rPr>
            </w:pPr>
            <w:r>
              <w:rPr>
                <w:rFonts w:ascii="Arial" w:cs="Arial" w:eastAsia="Arial" w:hAnsi="Arial"/>
                <w:sz w:val="16"/>
                <w:szCs w:val="16"/>
                <w:b w:val="1"/>
                <w:bCs w:val="1"/>
                <w:color w:val="auto"/>
              </w:rPr>
              <w:t>54,235</w:t>
            </w:r>
          </w:p>
        </w:tc>
        <w:tc>
          <w:tcPr>
            <w:tcW w:w="82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rPr>
              <w:t>23,758</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Prepaid supplies</w:t>
            </w:r>
          </w:p>
        </w:tc>
        <w:tc>
          <w:tcPr>
            <w:tcW w:w="262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32,637</w:t>
            </w:r>
          </w:p>
        </w:tc>
        <w:tc>
          <w:tcPr>
            <w:tcW w:w="82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16,525</w:t>
            </w: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Prepaid professional services</w:t>
            </w:r>
          </w:p>
        </w:tc>
        <w:tc>
          <w:tcPr>
            <w:tcW w:w="26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39,487</w:t>
            </w:r>
          </w:p>
        </w:tc>
        <w:tc>
          <w:tcPr>
            <w:tcW w:w="8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28,164</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Prepaid rent and lease deposits, short-term</w:t>
            </w:r>
          </w:p>
        </w:tc>
        <w:tc>
          <w:tcPr>
            <w:tcW w:w="262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76,990</w:t>
            </w:r>
          </w:p>
        </w:tc>
        <w:tc>
          <w:tcPr>
            <w:tcW w:w="82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152,441</w:t>
            </w:r>
          </w:p>
        </w:tc>
      </w:tr>
      <w:tr>
        <w:trPr>
          <w:trHeight w:val="189"/>
        </w:trPr>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26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3,434</w:t>
            </w:r>
          </w:p>
        </w:tc>
        <w:tc>
          <w:tcPr>
            <w:tcW w:w="8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183"/>
        </w:trPr>
        <w:tc>
          <w:tcPr>
            <w:tcW w:w="5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Prepaid expenses and other assets</w:t>
            </w:r>
          </w:p>
        </w:tc>
        <w:tc>
          <w:tcPr>
            <w:tcW w:w="2620" w:type="dxa"/>
            <w:vAlign w:val="bottom"/>
            <w:tcBorders>
              <w:bottom w:val="single" w:sz="8" w:color="auto"/>
            </w:tcBorders>
          </w:tcPr>
          <w:p>
            <w:pPr>
              <w:ind w:left="238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206,783</w:t>
            </w:r>
          </w:p>
        </w:tc>
        <w:tc>
          <w:tcPr>
            <w:tcW w:w="820" w:type="dxa"/>
            <w:vAlign w:val="bottom"/>
            <w:tcBorders>
              <w:bottom w:val="single" w:sz="8" w:color="auto"/>
            </w:tcBorders>
          </w:tcPr>
          <w:p>
            <w:pPr>
              <w:ind w:left="440"/>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220,888</w:t>
            </w:r>
          </w:p>
        </w:tc>
      </w:tr>
      <w:tr>
        <w:trPr>
          <w:trHeight w:val="183"/>
        </w:trPr>
        <w:tc>
          <w:tcPr>
            <w:tcW w:w="55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Long term investment</w:t>
            </w:r>
          </w:p>
        </w:tc>
        <w:tc>
          <w:tcPr>
            <w:tcW w:w="26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39"/>
              <w:spacing w:after="0" w:line="183" w:lineRule="exact"/>
              <w:rPr>
                <w:sz w:val="20"/>
                <w:szCs w:val="20"/>
                <w:color w:val="auto"/>
              </w:rPr>
            </w:pPr>
            <w:r>
              <w:rPr>
                <w:rFonts w:ascii="Arial" w:cs="Arial" w:eastAsia="Arial" w:hAnsi="Arial"/>
                <w:sz w:val="16"/>
                <w:szCs w:val="16"/>
                <w:b w:val="1"/>
                <w:bCs w:val="1"/>
                <w:color w:val="auto"/>
              </w:rPr>
              <w:t>21,628</w:t>
            </w:r>
          </w:p>
        </w:tc>
        <w:tc>
          <w:tcPr>
            <w:tcW w:w="8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rPr>
              <w:t>21,628</w:t>
            </w:r>
          </w:p>
        </w:tc>
      </w:tr>
      <w:tr>
        <w:trPr>
          <w:trHeight w:val="208"/>
        </w:trPr>
        <w:tc>
          <w:tcPr>
            <w:tcW w:w="5520" w:type="dxa"/>
            <w:vAlign w:val="bottom"/>
          </w:tcPr>
          <w:p>
            <w:pPr>
              <w:spacing w:after="0"/>
              <w:rPr>
                <w:sz w:val="20"/>
                <w:szCs w:val="20"/>
                <w:color w:val="auto"/>
              </w:rPr>
            </w:pPr>
            <w:r>
              <w:rPr>
                <w:rFonts w:ascii="Arial" w:cs="Arial" w:eastAsia="Arial" w:hAnsi="Arial"/>
                <w:sz w:val="16"/>
                <w:szCs w:val="16"/>
                <w:color w:val="auto"/>
              </w:rPr>
              <w:t>Other assets</w:t>
            </w:r>
          </w:p>
        </w:tc>
        <w:tc>
          <w:tcPr>
            <w:tcW w:w="2620" w:type="dxa"/>
            <w:vAlign w:val="bottom"/>
          </w:tcPr>
          <w:p>
            <w:pPr>
              <w:ind w:left="238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21,628</w:t>
            </w:r>
          </w:p>
        </w:tc>
        <w:tc>
          <w:tcPr>
            <w:tcW w:w="82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21,628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right="20"/>
        <w:spacing w:after="0" w:line="260" w:lineRule="auto"/>
        <w:rPr>
          <w:sz w:val="20"/>
          <w:szCs w:val="20"/>
          <w:color w:val="auto"/>
        </w:rPr>
      </w:pPr>
      <w:r>
        <w:rPr>
          <w:rFonts w:ascii="Arial" w:cs="Arial" w:eastAsia="Arial" w:hAnsi="Arial"/>
          <w:sz w:val="16"/>
          <w:szCs w:val="16"/>
          <w:color w:val="auto"/>
        </w:rPr>
        <w:t>Long term investment consists of 2,162,809 shares of common stock of A/F Protein, Inc. (AFP) with a cost basis of $21,628, which the Company believes to be the best estimate of market value. AFP and the Company have certain shareholders in common.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00" w:type="dxa"/>
            <w:vAlign w:val="bottom"/>
          </w:tcPr>
          <w:p>
            <w:pPr>
              <w:ind w:left="3560"/>
              <w:spacing w:after="0"/>
              <w:rPr>
                <w:sz w:val="20"/>
                <w:szCs w:val="20"/>
                <w:color w:val="auto"/>
              </w:rPr>
            </w:pPr>
            <w:r>
              <w:rPr>
                <w:rFonts w:ascii="Arial" w:cs="Arial" w:eastAsia="Arial" w:hAnsi="Arial"/>
                <w:sz w:val="16"/>
                <w:szCs w:val="16"/>
                <w:color w:val="auto"/>
                <w:w w:val="91"/>
              </w:rPr>
              <w:t>F-6</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Accounts payable and accrued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liabilities include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2"/>
          </w:tcPr>
          <w:p>
            <w:pPr>
              <w:ind w:left="2480"/>
              <w:spacing w:after="0"/>
              <w:rPr>
                <w:sz w:val="20"/>
                <w:szCs w:val="20"/>
                <w:color w:val="auto"/>
              </w:rPr>
            </w:pPr>
            <w:r>
              <w:rPr>
                <w:rFonts w:ascii="Arial" w:cs="Arial" w:eastAsia="Arial" w:hAnsi="Arial"/>
                <w:sz w:val="14"/>
                <w:szCs w:val="14"/>
                <w:b w:val="1"/>
                <w:bCs w:val="1"/>
                <w:color w:val="auto"/>
              </w:rPr>
              <w:t>June 30, 2014</w:t>
            </w:r>
          </w:p>
        </w:tc>
        <w:tc>
          <w:tcPr>
            <w:tcW w:w="21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December 31, 2013</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Accounts payable</w:t>
            </w:r>
          </w:p>
        </w:tc>
        <w:tc>
          <w:tcPr>
            <w:tcW w:w="2700" w:type="dxa"/>
            <w:vAlign w:val="bottom"/>
            <w:shd w:val="clear" w:color="auto" w:fill="CCEEFF"/>
          </w:tcPr>
          <w:p>
            <w:pPr>
              <w:ind w:left="246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339"/>
              <w:spacing w:after="0" w:line="183" w:lineRule="exact"/>
              <w:rPr>
                <w:sz w:val="20"/>
                <w:szCs w:val="20"/>
                <w:color w:val="auto"/>
              </w:rPr>
            </w:pPr>
            <w:r>
              <w:rPr>
                <w:rFonts w:ascii="Arial" w:cs="Arial" w:eastAsia="Arial" w:hAnsi="Arial"/>
                <w:sz w:val="16"/>
                <w:szCs w:val="16"/>
                <w:b w:val="1"/>
                <w:bCs w:val="1"/>
                <w:color w:val="auto"/>
              </w:rPr>
              <w:t>159,122</w:t>
            </w:r>
          </w:p>
        </w:tc>
        <w:tc>
          <w:tcPr>
            <w:tcW w:w="82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rPr>
              <w:t>387,076</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Accrued payroll including vacation</w:t>
            </w:r>
          </w:p>
        </w:tc>
        <w:tc>
          <w:tcPr>
            <w:tcW w:w="270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243,993</w:t>
            </w:r>
          </w:p>
        </w:tc>
        <w:tc>
          <w:tcPr>
            <w:tcW w:w="82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194,824</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27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231,719</w:t>
            </w:r>
          </w:p>
        </w:tc>
        <w:tc>
          <w:tcPr>
            <w:tcW w:w="8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115,439</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Accrued research and development costs</w:t>
            </w:r>
          </w:p>
        </w:tc>
        <w:tc>
          <w:tcPr>
            <w:tcW w:w="270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66,872</w:t>
            </w:r>
          </w:p>
        </w:tc>
        <w:tc>
          <w:tcPr>
            <w:tcW w:w="82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Accrued other</w:t>
            </w:r>
          </w:p>
        </w:tc>
        <w:tc>
          <w:tcPr>
            <w:tcW w:w="27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8,503</w:t>
            </w:r>
          </w:p>
        </w:tc>
        <w:tc>
          <w:tcPr>
            <w:tcW w:w="8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3,313</w:t>
            </w:r>
          </w:p>
        </w:tc>
      </w:tr>
      <w:tr>
        <w:trPr>
          <w:trHeight w:val="189"/>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Accrued taxes</w:t>
            </w:r>
          </w:p>
        </w:tc>
        <w:tc>
          <w:tcPr>
            <w:tcW w:w="2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17,911</w:t>
            </w: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3,376</w:t>
            </w:r>
          </w:p>
        </w:tc>
      </w:tr>
      <w:tr>
        <w:trPr>
          <w:trHeight w:val="183"/>
        </w:trPr>
        <w:tc>
          <w:tcPr>
            <w:tcW w:w="54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Accounts payable and accrued liabilities</w:t>
            </w:r>
          </w:p>
        </w:tc>
        <w:tc>
          <w:tcPr>
            <w:tcW w:w="2700" w:type="dxa"/>
            <w:vAlign w:val="bottom"/>
            <w:tcBorders>
              <w:bottom w:val="single" w:sz="8" w:color="auto"/>
            </w:tcBorders>
            <w:shd w:val="clear" w:color="auto" w:fill="CCEEFF"/>
          </w:tcPr>
          <w:p>
            <w:pPr>
              <w:ind w:left="246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339"/>
              <w:spacing w:after="0" w:line="183" w:lineRule="exact"/>
              <w:rPr>
                <w:sz w:val="20"/>
                <w:szCs w:val="20"/>
                <w:color w:val="auto"/>
              </w:rPr>
            </w:pPr>
            <w:r>
              <w:rPr>
                <w:rFonts w:ascii="Arial" w:cs="Arial" w:eastAsia="Arial" w:hAnsi="Arial"/>
                <w:sz w:val="16"/>
                <w:szCs w:val="16"/>
                <w:b w:val="1"/>
                <w:bCs w:val="1"/>
                <w:color w:val="auto"/>
              </w:rPr>
              <w:t>728,120</w:t>
            </w:r>
          </w:p>
        </w:tc>
        <w:tc>
          <w:tcPr>
            <w:tcW w:w="820" w:type="dxa"/>
            <w:vAlign w:val="bottom"/>
            <w:tcBorders>
              <w:bottom w:val="single" w:sz="8" w:color="auto"/>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rPr>
              <w:t>704,028</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current terms and conditions of long-term debt outstanding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243"/>
              <w:spacing w:after="0"/>
              <w:rPr>
                <w:sz w:val="20"/>
                <w:szCs w:val="20"/>
                <w:color w:val="auto"/>
              </w:rPr>
            </w:pPr>
            <w:r>
              <w:rPr>
                <w:rFonts w:ascii="Arial" w:cs="Arial" w:eastAsia="Arial" w:hAnsi="Arial"/>
                <w:sz w:val="14"/>
                <w:szCs w:val="14"/>
                <w:color w:val="auto"/>
              </w:rPr>
              <w:t>Interest</w:t>
            </w:r>
          </w:p>
        </w:tc>
        <w:tc>
          <w:tcPr>
            <w:tcW w:w="1100" w:type="dxa"/>
            <w:vAlign w:val="bottom"/>
          </w:tcPr>
          <w:p>
            <w:pPr>
              <w:jc w:val="right"/>
              <w:ind w:right="183"/>
              <w:spacing w:after="0"/>
              <w:rPr>
                <w:sz w:val="20"/>
                <w:szCs w:val="20"/>
                <w:color w:val="auto"/>
              </w:rPr>
            </w:pPr>
            <w:r>
              <w:rPr>
                <w:rFonts w:ascii="Arial" w:cs="Arial" w:eastAsia="Arial" w:hAnsi="Arial"/>
                <w:sz w:val="14"/>
                <w:szCs w:val="14"/>
                <w:color w:val="auto"/>
              </w:rPr>
              <w:t>Monthly</w:t>
            </w:r>
          </w:p>
        </w:tc>
        <w:tc>
          <w:tcPr>
            <w:tcW w:w="1180" w:type="dxa"/>
            <w:vAlign w:val="bottom"/>
          </w:tcPr>
          <w:p>
            <w:pPr>
              <w:jc w:val="right"/>
              <w:ind w:right="83"/>
              <w:spacing w:after="0"/>
              <w:rPr>
                <w:sz w:val="20"/>
                <w:szCs w:val="20"/>
                <w:color w:val="auto"/>
              </w:rPr>
            </w:pPr>
            <w:r>
              <w:rPr>
                <w:rFonts w:ascii="Arial" w:cs="Arial" w:eastAsia="Arial" w:hAnsi="Arial"/>
                <w:sz w:val="14"/>
                <w:szCs w:val="14"/>
                <w:color w:val="auto"/>
              </w:rPr>
              <w:t>Maturity</w:t>
            </w:r>
          </w:p>
        </w:tc>
        <w:tc>
          <w:tcPr>
            <w:tcW w:w="34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4"/>
                <w:szCs w:val="14"/>
                <w:color w:val="auto"/>
              </w:rPr>
              <w:t>December 31,</w:t>
            </w:r>
          </w:p>
        </w:tc>
      </w:tr>
      <w:tr>
        <w:trPr>
          <w:trHeight w:val="175"/>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Loan source</w:t>
            </w:r>
          </w:p>
        </w:tc>
        <w:tc>
          <w:tcPr>
            <w:tcW w:w="1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rate</w:t>
            </w: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repayment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date</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2013</w:t>
            </w:r>
          </w:p>
        </w:tc>
      </w:tr>
      <w:tr>
        <w:trPr>
          <w:trHeight w:val="183"/>
        </w:trPr>
        <w:tc>
          <w:tcPr>
            <w:tcW w:w="2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Royalty-based financing:</w:t>
            </w:r>
          </w:p>
        </w:tc>
        <w:tc>
          <w:tcPr>
            <w:tcW w:w="1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2940" w:type="dxa"/>
            <w:vAlign w:val="bottom"/>
          </w:tcPr>
          <w:p>
            <w:pPr>
              <w:ind w:left="180"/>
              <w:spacing w:after="0"/>
              <w:rPr>
                <w:sz w:val="20"/>
                <w:szCs w:val="20"/>
                <w:color w:val="auto"/>
              </w:rPr>
            </w:pPr>
            <w:r>
              <w:rPr>
                <w:rFonts w:ascii="Arial" w:cs="Arial" w:eastAsia="Arial" w:hAnsi="Arial"/>
                <w:sz w:val="16"/>
                <w:szCs w:val="16"/>
                <w:color w:val="auto"/>
              </w:rPr>
              <w:t>ACOA AIF grant</w:t>
            </w:r>
          </w:p>
        </w:tc>
        <w:tc>
          <w:tcPr>
            <w:tcW w:w="1440" w:type="dxa"/>
            <w:vAlign w:val="bottom"/>
          </w:tcPr>
          <w:p>
            <w:pPr>
              <w:ind w:left="1160"/>
              <w:spacing w:after="0"/>
              <w:rPr>
                <w:sz w:val="20"/>
                <w:szCs w:val="20"/>
                <w:color w:val="auto"/>
              </w:rPr>
            </w:pPr>
            <w:r>
              <w:rPr>
                <w:rFonts w:ascii="Arial" w:cs="Arial" w:eastAsia="Arial" w:hAnsi="Arial"/>
                <w:sz w:val="16"/>
                <w:szCs w:val="16"/>
                <w:color w:val="auto"/>
              </w:rPr>
              <w:t>C$</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2,816,281</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183"/>
              <w:spacing w:after="0"/>
              <w:rPr>
                <w:sz w:val="20"/>
                <w:szCs w:val="20"/>
                <w:color w:val="auto"/>
              </w:rPr>
            </w:pPr>
            <w:r>
              <w:rPr>
                <w:rFonts w:ascii="Arial" w:cs="Arial" w:eastAsia="Arial" w:hAnsi="Arial"/>
                <w:sz w:val="16"/>
                <w:szCs w:val="16"/>
                <w:color w:val="auto"/>
              </w:rPr>
              <w:t>Royalties</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b w:val="1"/>
                <w:bCs w:val="1"/>
                <w:color w:val="auto"/>
              </w:rPr>
              <w:t>2,639,137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2,359,653</w:t>
            </w:r>
          </w:p>
        </w:tc>
      </w:tr>
      <w:tr>
        <w:trPr>
          <w:trHeight w:val="189"/>
        </w:trPr>
        <w:tc>
          <w:tcPr>
            <w:tcW w:w="2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TPC funding</w:t>
            </w:r>
          </w:p>
        </w:tc>
        <w:tc>
          <w:tcPr>
            <w:tcW w:w="14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C$</w:t>
            </w: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2,964,900</w:t>
            </w: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rPr>
              <w:t>Royalties</w:t>
            </w: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June 2014</w:t>
            </w: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r>
      <w:tr>
        <w:trPr>
          <w:trHeight w:val="190"/>
        </w:trPr>
        <w:tc>
          <w:tcPr>
            <w:tcW w:w="2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Long-term debt</w:t>
            </w:r>
          </w:p>
        </w:tc>
        <w:tc>
          <w:tcPr>
            <w:tcW w:w="1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3"/>
              <w:spacing w:after="0" w:line="183" w:lineRule="exact"/>
              <w:rPr>
                <w:sz w:val="20"/>
                <w:szCs w:val="20"/>
                <w:color w:val="auto"/>
              </w:rPr>
            </w:pPr>
            <w:r>
              <w:rPr>
                <w:rFonts w:ascii="Arial" w:cs="Arial" w:eastAsia="Arial" w:hAnsi="Arial"/>
                <w:sz w:val="16"/>
                <w:szCs w:val="16"/>
                <w:b w:val="1"/>
                <w:bCs w:val="1"/>
                <w:color w:val="auto"/>
              </w:rPr>
              <w:t>2,639,137</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3"/>
              <w:spacing w:after="0" w:line="183" w:lineRule="exact"/>
              <w:rPr>
                <w:sz w:val="20"/>
                <w:szCs w:val="20"/>
                <w:color w:val="auto"/>
              </w:rPr>
            </w:pPr>
            <w:r>
              <w:rPr>
                <w:rFonts w:ascii="Arial" w:cs="Arial" w:eastAsia="Arial" w:hAnsi="Arial"/>
                <w:sz w:val="16"/>
                <w:szCs w:val="16"/>
                <w:color w:val="auto"/>
              </w:rPr>
              <w:t>2,359,653</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Atlantic Canada Opportunities Agency (ACOA)</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ACOA is a Canadian government agency that provides funding to support the development of businesses and to promote employment in the Atlantic region of Canada.</w:t>
      </w:r>
    </w:p>
    <w:p>
      <w:pPr>
        <w:spacing w:after="0" w:line="8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January 2009, the Canadian Subsidiary was awarded a grant from ACOA to provide a contribution towards the funding of a research and development project. The total amount available under the award is C$2,871,900 which can be claimed over a five-year period. All amounts claimed by the Canadian Subsidiary must be repaid in the form of a 10% royalty on any products that are commercialized out of this research project, until the loan is fully paid. During the six months ended June 30, 2014, the Canadian Subsidiary submitted claims and received funds in the amount of C$292,318. No repayments have been made to date. Cumulative draws on this award aggregate C$2,816,281 and the remaining balance available under this award at June 30, 2014 was C$55,619.</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Partnership Canada (TPC)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TPC is a Canadian government agency that provides funding to promote economic growth and create jobs in Canada.</w:t>
      </w:r>
    </w:p>
    <w:p>
      <w:pPr>
        <w:spacing w:after="0" w:line="10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November 1999, TPC agreed to provide funding up to C$2,964,900 to support the Canadian Subsidiary’s efforts to develop commercial applications of its transgenic growth enhanced fin fish technology. Funding under the TPC funding agreement was completed in 2003. This amount is repayable to TPC in the form of a 5.2% royalty on revenues generated from the sale of transgenic based growth enhanced fin fish commercial products. However, the Canadian Subsidiary has no further repayment obligations after June 30, 2014 even if the total amount has not been repaid as of such date. In 2011, management concluded that the probable amount owed would not exceed C$200,000 and the balance owed to TPC was adjusted to C$200,000 at that time. In 2013, management concluded that the probable amount owed would be $0 as no revenue would be generated to pay back the outstanding balance prior to the loan termination date. As a result, the balance owed to TPC was adjusted to $nil and the Company recognized a gain of C$200,000 in December 2013.</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interest expense of $nil and $3,470 for the six months ended June 30, 2014 and 2013, respectively, on their interest-bearing debt.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00" w:type="dxa"/>
            <w:vAlign w:val="bottom"/>
          </w:tcPr>
          <w:p>
            <w:pPr>
              <w:ind w:left="3560"/>
              <w:spacing w:after="0"/>
              <w:rPr>
                <w:sz w:val="20"/>
                <w:szCs w:val="20"/>
                <w:color w:val="auto"/>
              </w:rPr>
            </w:pPr>
            <w:r>
              <w:rPr>
                <w:rFonts w:ascii="Arial" w:cs="Arial" w:eastAsia="Arial" w:hAnsi="Arial"/>
                <w:sz w:val="16"/>
                <w:szCs w:val="16"/>
                <w:color w:val="auto"/>
                <w:w w:val="91"/>
              </w:rPr>
              <w:t>F-7</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Stockholders’ equity</w:t>
      </w:r>
    </w:p>
    <w:p>
      <w:pPr>
        <w:spacing w:after="0" w:line="133" w:lineRule="exact"/>
        <w:rPr>
          <w:sz w:val="20"/>
          <w:szCs w:val="20"/>
          <w:color w:val="auto"/>
        </w:rPr>
      </w:pPr>
    </w:p>
    <w:p>
      <w:pPr>
        <w:jc w:val="both"/>
        <w:ind w:right="580"/>
        <w:spacing w:after="0" w:line="253" w:lineRule="auto"/>
        <w:rPr>
          <w:sz w:val="20"/>
          <w:szCs w:val="20"/>
          <w:color w:val="auto"/>
        </w:rPr>
      </w:pPr>
      <w:r>
        <w:rPr>
          <w:rFonts w:ascii="Arial" w:cs="Arial" w:eastAsia="Arial" w:hAnsi="Arial"/>
          <w:sz w:val="16"/>
          <w:szCs w:val="16"/>
          <w:color w:val="auto"/>
        </w:rPr>
        <w:t>The Company is presently authorized to issue up to 240 million shares of stock, of which 40 million are authorized as preferred stock and 200 million as common stock. The Company had nil and nil shares of preferred stock and 144,405,837 and 125,305,471 of common stock, issued and outstanding at June 30, 2014 and December 31, 2013,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The holders of the common shares are entitled to one vote for each share held at all meetings of stockholders. Dividends and distribution of assets of the Company in the event of liquidation are subject to the preferential rights of any outstanding preferred shares. At June 30, 2014 the Company had reserved 7,359,000 shares of common stock for the exercise of options.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issuances</w:t>
      </w:r>
    </w:p>
    <w:p>
      <w:pPr>
        <w:spacing w:after="0" w:line="2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In January 2014, the Board approved a fundraising of $10.0 million before expenses by means of a subscription for new common shares by the Company’s majority shareholder, Intrexon Corporation. The subscription price was $0.5252 per share and the aggregate number of common shares subscribed was 19,040,366. The transaction closed on March 20, 2014 with net proceeds to the Company of approximately $9.74 million.</w:t>
      </w:r>
    </w:p>
    <w:p>
      <w:pPr>
        <w:spacing w:after="0" w:line="93" w:lineRule="exact"/>
        <w:rPr>
          <w:sz w:val="20"/>
          <w:szCs w:val="20"/>
          <w:color w:val="auto"/>
        </w:rPr>
      </w:pPr>
    </w:p>
    <w:p>
      <w:pPr>
        <w:ind w:right="960"/>
        <w:spacing w:after="0" w:line="317" w:lineRule="auto"/>
        <w:rPr>
          <w:sz w:val="20"/>
          <w:szCs w:val="20"/>
          <w:color w:val="auto"/>
        </w:rPr>
      </w:pPr>
      <w:r>
        <w:rPr>
          <w:rFonts w:ascii="Arial" w:cs="Arial" w:eastAsia="Arial" w:hAnsi="Arial"/>
          <w:sz w:val="16"/>
          <w:szCs w:val="16"/>
          <w:color w:val="auto"/>
        </w:rPr>
        <w:t xml:space="preserve">In March 2014, the Company received proceeds of $6,000 in connection with the exercise of options to purchase 60,000 shares of common stock. </w:t>
      </w:r>
      <w:r>
        <w:rPr>
          <w:rFonts w:ascii="Arial" w:cs="Arial" w:eastAsia="Arial" w:hAnsi="Arial"/>
          <w:sz w:val="16"/>
          <w:szCs w:val="16"/>
          <w:b w:val="1"/>
          <w:bCs w:val="1"/>
          <w:i w:val="1"/>
          <w:iCs w:val="1"/>
          <w:color w:val="auto"/>
        </w:rPr>
        <w:t>Stock options</w:t>
      </w:r>
    </w:p>
    <w:p>
      <w:pPr>
        <w:ind w:right="380"/>
        <w:spacing w:after="0" w:line="253" w:lineRule="auto"/>
        <w:rPr>
          <w:sz w:val="20"/>
          <w:szCs w:val="20"/>
          <w:color w:val="auto"/>
        </w:rPr>
      </w:pPr>
      <w:r>
        <w:rPr>
          <w:rFonts w:ascii="Arial" w:cs="Arial" w:eastAsia="Arial" w:hAnsi="Arial"/>
          <w:sz w:val="16"/>
          <w:szCs w:val="16"/>
          <w:color w:val="auto"/>
        </w:rPr>
        <w:t>In 1998, the Company established a stock option plan. This plan was superseded by the 2006 Equity Incentive Plan (the “Plan”). The Plan provides for the issuance of incentive stock options to employees of the Company and non-qualified stock options and awards of restricted and direct stock purchases to directors, officers, employees and consultants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Company’s option activity under the Plan is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4080" w:type="dxa"/>
            <w:vAlign w:val="bottom"/>
          </w:tcPr>
          <w:p>
            <w:pPr>
              <w:jc w:val="right"/>
              <w:ind w:right="361"/>
              <w:spacing w:after="0"/>
              <w:rPr>
                <w:sz w:val="20"/>
                <w:szCs w:val="20"/>
                <w:color w:val="auto"/>
              </w:rPr>
            </w:pPr>
            <w:r>
              <w:rPr>
                <w:rFonts w:ascii="Arial" w:cs="Arial" w:eastAsia="Arial" w:hAnsi="Arial"/>
                <w:sz w:val="14"/>
                <w:szCs w:val="14"/>
                <w:color w:val="auto"/>
              </w:rPr>
              <w:t>Number of</w:t>
            </w:r>
          </w:p>
        </w:tc>
        <w:tc>
          <w:tcPr>
            <w:tcW w:w="1900" w:type="dxa"/>
            <w:vAlign w:val="bottom"/>
          </w:tcPr>
          <w:p>
            <w:pPr>
              <w:jc w:val="right"/>
              <w:ind w:right="241"/>
              <w:spacing w:after="0"/>
              <w:rPr>
                <w:sz w:val="20"/>
                <w:szCs w:val="20"/>
                <w:color w:val="auto"/>
              </w:rPr>
            </w:pPr>
            <w:r>
              <w:rPr>
                <w:rFonts w:ascii="Arial" w:cs="Arial" w:eastAsia="Arial" w:hAnsi="Arial"/>
                <w:sz w:val="14"/>
                <w:szCs w:val="14"/>
                <w:color w:val="auto"/>
              </w:rPr>
              <w:t>Weighted average</w:t>
            </w:r>
          </w:p>
        </w:tc>
      </w:tr>
      <w:tr>
        <w:trPr>
          <w:trHeight w:val="157"/>
        </w:trPr>
        <w:tc>
          <w:tcPr>
            <w:tcW w:w="544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jc w:val="right"/>
              <w:ind w:right="361"/>
              <w:spacing w:after="0" w:line="157" w:lineRule="exact"/>
              <w:rPr>
                <w:sz w:val="20"/>
                <w:szCs w:val="20"/>
                <w:color w:val="auto"/>
              </w:rPr>
            </w:pPr>
            <w:r>
              <w:rPr>
                <w:rFonts w:ascii="Arial" w:cs="Arial" w:eastAsia="Arial" w:hAnsi="Arial"/>
                <w:sz w:val="14"/>
                <w:szCs w:val="14"/>
                <w:color w:val="auto"/>
              </w:rPr>
              <w:t>options</w:t>
            </w:r>
          </w:p>
        </w:tc>
        <w:tc>
          <w:tcPr>
            <w:tcW w:w="1900" w:type="dxa"/>
            <w:vAlign w:val="bottom"/>
            <w:tcBorders>
              <w:bottom w:val="single" w:sz="8" w:color="auto"/>
            </w:tcBorders>
          </w:tcPr>
          <w:p>
            <w:pPr>
              <w:jc w:val="right"/>
              <w:ind w:right="241"/>
              <w:spacing w:after="0" w:line="157" w:lineRule="exact"/>
              <w:rPr>
                <w:sz w:val="20"/>
                <w:szCs w:val="20"/>
                <w:color w:val="auto"/>
              </w:rPr>
            </w:pPr>
            <w:r>
              <w:rPr>
                <w:rFonts w:ascii="Arial" w:cs="Arial" w:eastAsia="Arial" w:hAnsi="Arial"/>
                <w:sz w:val="14"/>
                <w:szCs w:val="14"/>
                <w:color w:val="auto"/>
              </w:rPr>
              <w:t>exercise price</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Outstanding at December 31, 2013</w:t>
            </w:r>
          </w:p>
        </w:tc>
        <w:tc>
          <w:tcPr>
            <w:tcW w:w="4080" w:type="dxa"/>
            <w:vAlign w:val="bottom"/>
            <w:shd w:val="clear" w:color="auto" w:fill="CCEEFF"/>
          </w:tcPr>
          <w:p>
            <w:pPr>
              <w:jc w:val="right"/>
              <w:ind w:right="361"/>
              <w:spacing w:after="0" w:line="183" w:lineRule="exact"/>
              <w:rPr>
                <w:sz w:val="20"/>
                <w:szCs w:val="20"/>
                <w:color w:val="auto"/>
              </w:rPr>
            </w:pPr>
            <w:r>
              <w:rPr>
                <w:rFonts w:ascii="Arial" w:cs="Arial" w:eastAsia="Arial" w:hAnsi="Arial"/>
                <w:sz w:val="16"/>
                <w:szCs w:val="16"/>
                <w:color w:val="auto"/>
              </w:rPr>
              <w:t>6,624,000</w:t>
            </w:r>
          </w:p>
        </w:tc>
        <w:tc>
          <w:tcPr>
            <w:tcW w:w="1900" w:type="dxa"/>
            <w:vAlign w:val="bottom"/>
            <w:shd w:val="clear" w:color="auto" w:fill="CCEEFF"/>
          </w:tcPr>
          <w:p>
            <w:pPr>
              <w:jc w:val="right"/>
              <w:ind w:right="241"/>
              <w:spacing w:after="0" w:line="183" w:lineRule="exact"/>
              <w:rPr>
                <w:sz w:val="20"/>
                <w:szCs w:val="20"/>
                <w:color w:val="auto"/>
              </w:rPr>
            </w:pPr>
            <w:r>
              <w:rPr>
                <w:rFonts w:ascii="Arial" w:cs="Arial" w:eastAsia="Arial" w:hAnsi="Arial"/>
                <w:sz w:val="16"/>
                <w:szCs w:val="16"/>
                <w:color w:val="auto"/>
              </w:rPr>
              <w:t>0.25</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Issued</w:t>
            </w:r>
          </w:p>
        </w:tc>
        <w:tc>
          <w:tcPr>
            <w:tcW w:w="4080" w:type="dxa"/>
            <w:vAlign w:val="bottom"/>
          </w:tcPr>
          <w:p>
            <w:pPr>
              <w:jc w:val="right"/>
              <w:ind w:right="361"/>
              <w:spacing w:after="0"/>
              <w:rPr>
                <w:sz w:val="20"/>
                <w:szCs w:val="20"/>
                <w:color w:val="auto"/>
              </w:rPr>
            </w:pPr>
            <w:r>
              <w:rPr>
                <w:rFonts w:ascii="Arial" w:cs="Arial" w:eastAsia="Arial" w:hAnsi="Arial"/>
                <w:sz w:val="16"/>
                <w:szCs w:val="16"/>
                <w:color w:val="auto"/>
              </w:rPr>
              <w:t>800,000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0.78</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40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(60,000)</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0.10</w:t>
            </w:r>
          </w:p>
        </w:tc>
      </w:tr>
      <w:tr>
        <w:trPr>
          <w:trHeight w:val="189"/>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Expired</w:t>
            </w:r>
          </w:p>
        </w:tc>
        <w:tc>
          <w:tcPr>
            <w:tcW w:w="40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(5,000)</w:t>
            </w:r>
          </w:p>
        </w:tc>
        <w:tc>
          <w:tcPr>
            <w:tcW w:w="19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0.25</w:t>
            </w:r>
          </w:p>
        </w:tc>
      </w:tr>
      <w:tr>
        <w:trPr>
          <w:trHeight w:val="183"/>
        </w:trPr>
        <w:tc>
          <w:tcPr>
            <w:tcW w:w="54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Outstanding at June 30, 2014</w:t>
            </w:r>
          </w:p>
        </w:tc>
        <w:tc>
          <w:tcPr>
            <w:tcW w:w="4080" w:type="dxa"/>
            <w:vAlign w:val="bottom"/>
            <w:tcBorders>
              <w:bottom w:val="single" w:sz="8" w:color="auto"/>
            </w:tcBorders>
            <w:shd w:val="clear" w:color="auto" w:fill="CCEEFF"/>
          </w:tcPr>
          <w:p>
            <w:pPr>
              <w:jc w:val="right"/>
              <w:ind w:right="361"/>
              <w:spacing w:after="0" w:line="183" w:lineRule="exact"/>
              <w:rPr>
                <w:sz w:val="20"/>
                <w:szCs w:val="20"/>
                <w:color w:val="auto"/>
              </w:rPr>
            </w:pPr>
            <w:r>
              <w:rPr>
                <w:rFonts w:ascii="Arial" w:cs="Arial" w:eastAsia="Arial" w:hAnsi="Arial"/>
                <w:sz w:val="16"/>
                <w:szCs w:val="16"/>
                <w:color w:val="auto"/>
              </w:rPr>
              <w:t>7,359,000</w:t>
            </w:r>
          </w:p>
        </w:tc>
        <w:tc>
          <w:tcPr>
            <w:tcW w:w="1900" w:type="dxa"/>
            <w:vAlign w:val="bottom"/>
            <w:tcBorders>
              <w:bottom w:val="single" w:sz="8" w:color="auto"/>
            </w:tcBorders>
            <w:shd w:val="clear" w:color="auto" w:fill="CCEEFF"/>
          </w:tcPr>
          <w:p>
            <w:pPr>
              <w:jc w:val="right"/>
              <w:ind w:right="241"/>
              <w:spacing w:after="0" w:line="183" w:lineRule="exact"/>
              <w:rPr>
                <w:sz w:val="20"/>
                <w:szCs w:val="20"/>
                <w:color w:val="auto"/>
              </w:rPr>
            </w:pPr>
            <w:r>
              <w:rPr>
                <w:rFonts w:ascii="Arial" w:cs="Arial" w:eastAsia="Arial" w:hAnsi="Arial"/>
                <w:sz w:val="16"/>
                <w:szCs w:val="16"/>
                <w:color w:val="auto"/>
              </w:rPr>
              <w:t>0.31</w:t>
            </w:r>
          </w:p>
        </w:tc>
      </w:tr>
      <w:tr>
        <w:trPr>
          <w:trHeight w:val="190"/>
        </w:trPr>
        <w:tc>
          <w:tcPr>
            <w:tcW w:w="5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Exercisable at June 30, 2014</w:t>
            </w:r>
          </w:p>
        </w:tc>
        <w:tc>
          <w:tcPr>
            <w:tcW w:w="408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6,255,520</w:t>
            </w:r>
          </w:p>
        </w:tc>
        <w:tc>
          <w:tcPr>
            <w:tcW w:w="1900" w:type="dxa"/>
            <w:vAlign w:val="bottom"/>
            <w:tcBorders>
              <w:bottom w:val="single" w:sz="8" w:color="auto"/>
            </w:tcBorders>
          </w:tcPr>
          <w:p>
            <w:pPr>
              <w:jc w:val="right"/>
              <w:ind w:right="241"/>
              <w:spacing w:after="0" w:line="183" w:lineRule="exact"/>
              <w:rPr>
                <w:sz w:val="20"/>
                <w:szCs w:val="20"/>
                <w:color w:val="auto"/>
              </w:rPr>
            </w:pPr>
            <w:r>
              <w:rPr>
                <w:rFonts w:ascii="Arial" w:cs="Arial" w:eastAsia="Arial" w:hAnsi="Arial"/>
                <w:sz w:val="16"/>
                <w:szCs w:val="16"/>
                <w:color w:val="auto"/>
              </w:rPr>
              <w:t>0.25</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at June 30, 2014: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jc w:val="right"/>
              <w:ind w:right="361"/>
              <w:spacing w:after="0"/>
              <w:rPr>
                <w:sz w:val="20"/>
                <w:szCs w:val="20"/>
                <w:color w:val="auto"/>
              </w:rPr>
            </w:pPr>
            <w:r>
              <w:rPr>
                <w:rFonts w:ascii="Arial" w:cs="Arial" w:eastAsia="Arial" w:hAnsi="Arial"/>
                <w:sz w:val="14"/>
                <w:szCs w:val="14"/>
                <w:color w:val="auto"/>
              </w:rPr>
              <w:t>Weighted average</w:t>
            </w:r>
          </w:p>
        </w:tc>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Weighted average price of</w:t>
            </w:r>
          </w:p>
        </w:tc>
        <w:tc>
          <w:tcPr>
            <w:tcW w:w="2380" w:type="dxa"/>
            <w:vAlign w:val="bottom"/>
          </w:tcPr>
          <w:p>
            <w:pPr>
              <w:jc w:val="right"/>
              <w:ind w:right="340"/>
              <w:spacing w:after="0"/>
              <w:rPr>
                <w:sz w:val="20"/>
                <w:szCs w:val="20"/>
                <w:color w:val="auto"/>
              </w:rPr>
            </w:pPr>
            <w:r>
              <w:rPr>
                <w:rFonts w:ascii="Arial" w:cs="Arial" w:eastAsia="Arial" w:hAnsi="Arial"/>
                <w:sz w:val="14"/>
                <w:szCs w:val="14"/>
                <w:color w:val="auto"/>
              </w:rPr>
              <w:t>Number of options</w:t>
            </w:r>
          </w:p>
        </w:tc>
        <w:tc>
          <w:tcPr>
            <w:tcW w:w="2180" w:type="dxa"/>
            <w:vAlign w:val="bottom"/>
          </w:tcPr>
          <w:p>
            <w:pPr>
              <w:jc w:val="right"/>
              <w:ind w:right="361"/>
              <w:spacing w:after="0"/>
              <w:rPr>
                <w:sz w:val="20"/>
                <w:szCs w:val="20"/>
                <w:color w:val="auto"/>
              </w:rPr>
            </w:pPr>
            <w:r>
              <w:rPr>
                <w:rFonts w:ascii="Arial" w:cs="Arial" w:eastAsia="Arial" w:hAnsi="Arial"/>
                <w:sz w:val="14"/>
                <w:szCs w:val="14"/>
                <w:color w:val="auto"/>
              </w:rPr>
              <w:t>remaining estimated</w:t>
            </w:r>
          </w:p>
        </w:tc>
        <w:tc>
          <w:tcPr>
            <w:tcW w:w="2060" w:type="dxa"/>
            <w:vAlign w:val="bottom"/>
          </w:tcPr>
          <w:p>
            <w:pPr>
              <w:jc w:val="right"/>
              <w:ind w:right="360"/>
              <w:spacing w:after="0"/>
              <w:rPr>
                <w:sz w:val="20"/>
                <w:szCs w:val="20"/>
                <w:color w:val="auto"/>
              </w:rPr>
            </w:pPr>
            <w:r>
              <w:rPr>
                <w:rFonts w:ascii="Arial" w:cs="Arial" w:eastAsia="Arial" w:hAnsi="Arial"/>
                <w:sz w:val="14"/>
                <w:szCs w:val="14"/>
                <w:color w:val="auto"/>
              </w:rPr>
              <w:t>Number of options</w:t>
            </w:r>
          </w:p>
        </w:tc>
        <w:tc>
          <w:tcPr>
            <w:tcW w:w="2340" w:type="dxa"/>
            <w:vAlign w:val="bottom"/>
            <w:gridSpan w:val="2"/>
          </w:tcPr>
          <w:p>
            <w:pPr>
              <w:ind w:left="440"/>
              <w:spacing w:after="0"/>
              <w:rPr>
                <w:sz w:val="20"/>
                <w:szCs w:val="20"/>
                <w:color w:val="auto"/>
              </w:rPr>
            </w:pPr>
            <w:r>
              <w:rPr>
                <w:rFonts w:ascii="Arial" w:cs="Arial" w:eastAsia="Arial" w:hAnsi="Arial"/>
                <w:sz w:val="14"/>
                <w:szCs w:val="14"/>
                <w:color w:val="auto"/>
              </w:rPr>
              <w:t>Weighted average price</w:t>
            </w:r>
          </w:p>
        </w:tc>
      </w:tr>
      <w:tr>
        <w:trPr>
          <w:trHeight w:val="157"/>
        </w:trPr>
        <w:tc>
          <w:tcPr>
            <w:tcW w:w="24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outstanding options</w:t>
            </w:r>
          </w:p>
        </w:tc>
        <w:tc>
          <w:tcPr>
            <w:tcW w:w="2380" w:type="dxa"/>
            <w:vAlign w:val="bottom"/>
            <w:tcBorders>
              <w:bottom w:val="single" w:sz="8" w:color="auto"/>
            </w:tcBorders>
          </w:tcPr>
          <w:p>
            <w:pPr>
              <w:jc w:val="right"/>
              <w:ind w:right="340"/>
              <w:spacing w:after="0" w:line="157" w:lineRule="exact"/>
              <w:rPr>
                <w:sz w:val="20"/>
                <w:szCs w:val="20"/>
                <w:color w:val="auto"/>
              </w:rPr>
            </w:pPr>
            <w:r>
              <w:rPr>
                <w:rFonts w:ascii="Arial" w:cs="Arial" w:eastAsia="Arial" w:hAnsi="Arial"/>
                <w:sz w:val="14"/>
                <w:szCs w:val="14"/>
                <w:color w:val="auto"/>
              </w:rPr>
              <w:t>outstanding</w:t>
            </w:r>
          </w:p>
        </w:tc>
        <w:tc>
          <w:tcPr>
            <w:tcW w:w="2180" w:type="dxa"/>
            <w:vAlign w:val="bottom"/>
            <w:tcBorders>
              <w:bottom w:val="single" w:sz="8" w:color="auto"/>
            </w:tcBorders>
          </w:tcPr>
          <w:p>
            <w:pPr>
              <w:jc w:val="right"/>
              <w:ind w:right="361"/>
              <w:spacing w:after="0" w:line="157" w:lineRule="exact"/>
              <w:rPr>
                <w:sz w:val="20"/>
                <w:szCs w:val="20"/>
                <w:color w:val="auto"/>
              </w:rPr>
            </w:pPr>
            <w:r>
              <w:rPr>
                <w:rFonts w:ascii="Arial" w:cs="Arial" w:eastAsia="Arial" w:hAnsi="Arial"/>
                <w:sz w:val="14"/>
                <w:szCs w:val="14"/>
                <w:color w:val="auto"/>
              </w:rPr>
              <w:t>life (in years)</w:t>
            </w:r>
          </w:p>
        </w:tc>
        <w:tc>
          <w:tcPr>
            <w:tcW w:w="2060" w:type="dxa"/>
            <w:vAlign w:val="bottom"/>
            <w:tcBorders>
              <w:bottom w:val="single" w:sz="8" w:color="auto"/>
            </w:tcBorders>
          </w:tcPr>
          <w:p>
            <w:pPr>
              <w:jc w:val="right"/>
              <w:ind w:right="360"/>
              <w:spacing w:after="0" w:line="157" w:lineRule="exact"/>
              <w:rPr>
                <w:sz w:val="20"/>
                <w:szCs w:val="20"/>
                <w:color w:val="auto"/>
              </w:rPr>
            </w:pPr>
            <w:r>
              <w:rPr>
                <w:rFonts w:ascii="Arial" w:cs="Arial" w:eastAsia="Arial" w:hAnsi="Arial"/>
                <w:sz w:val="14"/>
                <w:szCs w:val="14"/>
                <w:color w:val="auto"/>
              </w:rPr>
              <w:t>exercisable</w:t>
            </w:r>
          </w:p>
        </w:tc>
        <w:tc>
          <w:tcPr>
            <w:tcW w:w="5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300"/>
              <w:spacing w:after="0" w:line="157" w:lineRule="exact"/>
              <w:rPr>
                <w:sz w:val="20"/>
                <w:szCs w:val="20"/>
                <w:color w:val="auto"/>
              </w:rPr>
            </w:pPr>
            <w:r>
              <w:rPr>
                <w:rFonts w:ascii="Arial" w:cs="Arial" w:eastAsia="Arial" w:hAnsi="Arial"/>
                <w:sz w:val="14"/>
                <w:szCs w:val="14"/>
                <w:color w:val="auto"/>
              </w:rPr>
              <w:t>of exercisable options</w:t>
            </w:r>
          </w:p>
        </w:tc>
      </w:tr>
      <w:tr>
        <w:trPr>
          <w:trHeight w:val="183"/>
        </w:trPr>
        <w:tc>
          <w:tcPr>
            <w:tcW w:w="2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$0.10</w:t>
            </w:r>
          </w:p>
        </w:tc>
        <w:tc>
          <w:tcPr>
            <w:tcW w:w="2380" w:type="dxa"/>
            <w:vAlign w:val="bottom"/>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30,000</w:t>
            </w:r>
          </w:p>
        </w:tc>
        <w:tc>
          <w:tcPr>
            <w:tcW w:w="2180" w:type="dxa"/>
            <w:vAlign w:val="bottom"/>
            <w:shd w:val="clear" w:color="auto" w:fill="CCEEFF"/>
          </w:tcPr>
          <w:p>
            <w:pPr>
              <w:jc w:val="right"/>
              <w:ind w:right="361"/>
              <w:spacing w:after="0" w:line="183" w:lineRule="exact"/>
              <w:rPr>
                <w:sz w:val="20"/>
                <w:szCs w:val="20"/>
                <w:color w:val="auto"/>
              </w:rPr>
            </w:pPr>
            <w:r>
              <w:rPr>
                <w:rFonts w:ascii="Arial" w:cs="Arial" w:eastAsia="Arial" w:hAnsi="Arial"/>
                <w:sz w:val="16"/>
                <w:szCs w:val="16"/>
                <w:color w:val="auto"/>
              </w:rPr>
              <w:t>4.9</w:t>
            </w:r>
          </w:p>
        </w:tc>
        <w:tc>
          <w:tcPr>
            <w:tcW w:w="2060" w:type="dxa"/>
            <w:vAlign w:val="bottom"/>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30,000</w:t>
            </w:r>
          </w:p>
        </w:tc>
        <w:tc>
          <w:tcPr>
            <w:tcW w:w="54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0.10</w:t>
            </w: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$0.11</w:t>
            </w:r>
          </w:p>
        </w:tc>
        <w:tc>
          <w:tcPr>
            <w:tcW w:w="2380" w:type="dxa"/>
            <w:vAlign w:val="bottom"/>
          </w:tcPr>
          <w:p>
            <w:pPr>
              <w:jc w:val="right"/>
              <w:ind w:right="340"/>
              <w:spacing w:after="0"/>
              <w:rPr>
                <w:sz w:val="20"/>
                <w:szCs w:val="20"/>
                <w:color w:val="auto"/>
              </w:rPr>
            </w:pPr>
            <w:r>
              <w:rPr>
                <w:rFonts w:ascii="Arial" w:cs="Arial" w:eastAsia="Arial" w:hAnsi="Arial"/>
                <w:sz w:val="16"/>
                <w:szCs w:val="16"/>
                <w:color w:val="auto"/>
              </w:rPr>
              <w:t>2,665,000</w:t>
            </w:r>
          </w:p>
        </w:tc>
        <w:tc>
          <w:tcPr>
            <w:tcW w:w="2180" w:type="dxa"/>
            <w:vAlign w:val="bottom"/>
          </w:tcPr>
          <w:p>
            <w:pPr>
              <w:jc w:val="right"/>
              <w:ind w:right="361"/>
              <w:spacing w:after="0"/>
              <w:rPr>
                <w:sz w:val="20"/>
                <w:szCs w:val="20"/>
                <w:color w:val="auto"/>
              </w:rPr>
            </w:pPr>
            <w:r>
              <w:rPr>
                <w:rFonts w:ascii="Arial" w:cs="Arial" w:eastAsia="Arial" w:hAnsi="Arial"/>
                <w:sz w:val="16"/>
                <w:szCs w:val="16"/>
                <w:color w:val="auto"/>
              </w:rPr>
              <w:t>5.1</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2,665,000</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0.11</w:t>
            </w:r>
          </w:p>
        </w:tc>
      </w:tr>
      <w:tr>
        <w:trPr>
          <w:trHeight w:val="18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$0.12</w:t>
            </w:r>
          </w:p>
        </w:tc>
        <w:tc>
          <w:tcPr>
            <w:tcW w:w="23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24,000</w:t>
            </w:r>
          </w:p>
        </w:tc>
        <w:tc>
          <w:tcPr>
            <w:tcW w:w="21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8.0</w:t>
            </w:r>
          </w:p>
        </w:tc>
        <w:tc>
          <w:tcPr>
            <w:tcW w:w="20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24,000</w:t>
            </w:r>
          </w:p>
        </w:tc>
        <w:tc>
          <w:tcPr>
            <w:tcW w:w="5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0.12</w:t>
            </w: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$0.23</w:t>
            </w:r>
          </w:p>
        </w:tc>
        <w:tc>
          <w:tcPr>
            <w:tcW w:w="2380" w:type="dxa"/>
            <w:vAlign w:val="bottom"/>
          </w:tcPr>
          <w:p>
            <w:pPr>
              <w:jc w:val="right"/>
              <w:ind w:right="340"/>
              <w:spacing w:after="0"/>
              <w:rPr>
                <w:sz w:val="20"/>
                <w:szCs w:val="20"/>
                <w:color w:val="auto"/>
              </w:rPr>
            </w:pPr>
            <w:r>
              <w:rPr>
                <w:rFonts w:ascii="Arial" w:cs="Arial" w:eastAsia="Arial" w:hAnsi="Arial"/>
                <w:sz w:val="16"/>
                <w:szCs w:val="16"/>
                <w:color w:val="auto"/>
              </w:rPr>
              <w:t>773,500</w:t>
            </w:r>
          </w:p>
        </w:tc>
        <w:tc>
          <w:tcPr>
            <w:tcW w:w="2180" w:type="dxa"/>
            <w:vAlign w:val="bottom"/>
          </w:tcPr>
          <w:p>
            <w:pPr>
              <w:jc w:val="right"/>
              <w:ind w:right="361"/>
              <w:spacing w:after="0"/>
              <w:rPr>
                <w:sz w:val="20"/>
                <w:szCs w:val="20"/>
                <w:color w:val="auto"/>
              </w:rPr>
            </w:pPr>
            <w:r>
              <w:rPr>
                <w:rFonts w:ascii="Arial" w:cs="Arial" w:eastAsia="Arial" w:hAnsi="Arial"/>
                <w:sz w:val="16"/>
                <w:szCs w:val="16"/>
                <w:color w:val="auto"/>
              </w:rPr>
              <w:t>6.5</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773,500</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0.23</w:t>
            </w:r>
          </w:p>
        </w:tc>
      </w:tr>
      <w:tr>
        <w:trPr>
          <w:trHeight w:val="18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$0.25</w:t>
            </w:r>
          </w:p>
        </w:tc>
        <w:tc>
          <w:tcPr>
            <w:tcW w:w="23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495,000</w:t>
            </w:r>
          </w:p>
        </w:tc>
        <w:tc>
          <w:tcPr>
            <w:tcW w:w="21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8.8</w:t>
            </w:r>
          </w:p>
        </w:tc>
        <w:tc>
          <w:tcPr>
            <w:tcW w:w="20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191,520</w:t>
            </w:r>
          </w:p>
        </w:tc>
        <w:tc>
          <w:tcPr>
            <w:tcW w:w="5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0.25</w:t>
            </w: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$0.32</w:t>
            </w:r>
          </w:p>
        </w:tc>
        <w:tc>
          <w:tcPr>
            <w:tcW w:w="2380" w:type="dxa"/>
            <w:vAlign w:val="bottom"/>
          </w:tcPr>
          <w:p>
            <w:pPr>
              <w:jc w:val="right"/>
              <w:ind w:right="340"/>
              <w:spacing w:after="0"/>
              <w:rPr>
                <w:sz w:val="20"/>
                <w:szCs w:val="20"/>
                <w:color w:val="auto"/>
              </w:rPr>
            </w:pPr>
            <w:r>
              <w:rPr>
                <w:rFonts w:ascii="Arial" w:cs="Arial" w:eastAsia="Arial" w:hAnsi="Arial"/>
                <w:sz w:val="16"/>
                <w:szCs w:val="16"/>
                <w:color w:val="auto"/>
              </w:rPr>
              <w:t>24,000</w:t>
            </w:r>
          </w:p>
        </w:tc>
        <w:tc>
          <w:tcPr>
            <w:tcW w:w="2180" w:type="dxa"/>
            <w:vAlign w:val="bottom"/>
          </w:tcPr>
          <w:p>
            <w:pPr>
              <w:jc w:val="right"/>
              <w:ind w:right="361"/>
              <w:spacing w:after="0"/>
              <w:rPr>
                <w:sz w:val="20"/>
                <w:szCs w:val="20"/>
                <w:color w:val="auto"/>
              </w:rPr>
            </w:pPr>
            <w:r>
              <w:rPr>
                <w:rFonts w:ascii="Arial" w:cs="Arial" w:eastAsia="Arial" w:hAnsi="Arial"/>
                <w:sz w:val="16"/>
                <w:szCs w:val="16"/>
                <w:color w:val="auto"/>
              </w:rPr>
              <w:t>6.3</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24,000</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0.32</w:t>
            </w:r>
          </w:p>
        </w:tc>
      </w:tr>
      <w:tr>
        <w:trPr>
          <w:trHeight w:val="18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$0.33</w:t>
            </w:r>
          </w:p>
        </w:tc>
        <w:tc>
          <w:tcPr>
            <w:tcW w:w="23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24,000</w:t>
            </w:r>
          </w:p>
        </w:tc>
        <w:tc>
          <w:tcPr>
            <w:tcW w:w="21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4.0</w:t>
            </w:r>
          </w:p>
        </w:tc>
        <w:tc>
          <w:tcPr>
            <w:tcW w:w="20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24,000</w:t>
            </w:r>
          </w:p>
        </w:tc>
        <w:tc>
          <w:tcPr>
            <w:tcW w:w="5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0.33</w:t>
            </w: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$0.35</w:t>
            </w:r>
          </w:p>
        </w:tc>
        <w:tc>
          <w:tcPr>
            <w:tcW w:w="2380" w:type="dxa"/>
            <w:vAlign w:val="bottom"/>
          </w:tcPr>
          <w:p>
            <w:pPr>
              <w:jc w:val="right"/>
              <w:ind w:right="340"/>
              <w:spacing w:after="0"/>
              <w:rPr>
                <w:sz w:val="20"/>
                <w:szCs w:val="20"/>
                <w:color w:val="auto"/>
              </w:rPr>
            </w:pPr>
            <w:r>
              <w:rPr>
                <w:rFonts w:ascii="Arial" w:cs="Arial" w:eastAsia="Arial" w:hAnsi="Arial"/>
                <w:sz w:val="16"/>
                <w:szCs w:val="16"/>
                <w:color w:val="auto"/>
              </w:rPr>
              <w:t>72,000</w:t>
            </w:r>
          </w:p>
        </w:tc>
        <w:tc>
          <w:tcPr>
            <w:tcW w:w="2180" w:type="dxa"/>
            <w:vAlign w:val="bottom"/>
          </w:tcPr>
          <w:p>
            <w:pPr>
              <w:jc w:val="right"/>
              <w:ind w:right="361"/>
              <w:spacing w:after="0"/>
              <w:rPr>
                <w:sz w:val="20"/>
                <w:szCs w:val="20"/>
                <w:color w:val="auto"/>
              </w:rPr>
            </w:pPr>
            <w:r>
              <w:rPr>
                <w:rFonts w:ascii="Arial" w:cs="Arial" w:eastAsia="Arial" w:hAnsi="Arial"/>
                <w:sz w:val="16"/>
                <w:szCs w:val="16"/>
                <w:color w:val="auto"/>
              </w:rPr>
              <w:t>9.0</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72,000</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0.35</w:t>
            </w:r>
          </w:p>
        </w:tc>
      </w:tr>
      <w:tr>
        <w:trPr>
          <w:trHeight w:val="18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$0.40</w:t>
            </w:r>
          </w:p>
        </w:tc>
        <w:tc>
          <w:tcPr>
            <w:tcW w:w="23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2,375,000</w:t>
            </w:r>
          </w:p>
        </w:tc>
        <w:tc>
          <w:tcPr>
            <w:tcW w:w="21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1.0</w:t>
            </w:r>
          </w:p>
        </w:tc>
        <w:tc>
          <w:tcPr>
            <w:tcW w:w="20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2,375,000</w:t>
            </w:r>
          </w:p>
        </w:tc>
        <w:tc>
          <w:tcPr>
            <w:tcW w:w="5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0.40</w:t>
            </w: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$0.65</w:t>
            </w:r>
          </w:p>
        </w:tc>
        <w:tc>
          <w:tcPr>
            <w:tcW w:w="2380" w:type="dxa"/>
            <w:vAlign w:val="bottom"/>
          </w:tcPr>
          <w:p>
            <w:pPr>
              <w:jc w:val="right"/>
              <w:ind w:right="340"/>
              <w:spacing w:after="0"/>
              <w:rPr>
                <w:sz w:val="20"/>
                <w:szCs w:val="20"/>
                <w:color w:val="auto"/>
              </w:rPr>
            </w:pPr>
            <w:r>
              <w:rPr>
                <w:rFonts w:ascii="Arial" w:cs="Arial" w:eastAsia="Arial" w:hAnsi="Arial"/>
                <w:sz w:val="16"/>
                <w:szCs w:val="16"/>
                <w:color w:val="auto"/>
              </w:rPr>
              <w:t>76,500</w:t>
            </w:r>
          </w:p>
        </w:tc>
        <w:tc>
          <w:tcPr>
            <w:tcW w:w="2180" w:type="dxa"/>
            <w:vAlign w:val="bottom"/>
          </w:tcPr>
          <w:p>
            <w:pPr>
              <w:jc w:val="right"/>
              <w:ind w:right="361"/>
              <w:spacing w:after="0"/>
              <w:rPr>
                <w:sz w:val="20"/>
                <w:szCs w:val="20"/>
                <w:color w:val="auto"/>
              </w:rPr>
            </w:pPr>
            <w:r>
              <w:rPr>
                <w:rFonts w:ascii="Arial" w:cs="Arial" w:eastAsia="Arial" w:hAnsi="Arial"/>
                <w:sz w:val="16"/>
                <w:szCs w:val="16"/>
                <w:color w:val="auto"/>
              </w:rPr>
              <w:t>3.0</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76,500</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0.65</w:t>
            </w:r>
          </w:p>
        </w:tc>
      </w:tr>
      <w:tr>
        <w:trPr>
          <w:trHeight w:val="189"/>
        </w:trPr>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$0.78</w:t>
            </w:r>
          </w:p>
        </w:tc>
        <w:tc>
          <w:tcPr>
            <w:tcW w:w="23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800,000</w:t>
            </w:r>
          </w:p>
        </w:tc>
        <w:tc>
          <w:tcPr>
            <w:tcW w:w="21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9.5</w:t>
            </w:r>
          </w:p>
        </w:tc>
        <w:tc>
          <w:tcPr>
            <w:tcW w:w="20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r>
      <w:tr>
        <w:trPr>
          <w:trHeight w:val="190"/>
        </w:trPr>
        <w:tc>
          <w:tcPr>
            <w:tcW w:w="2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$0.31</w:t>
            </w:r>
          </w:p>
        </w:tc>
        <w:tc>
          <w:tcPr>
            <w:tcW w:w="238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color w:val="auto"/>
              </w:rPr>
              <w:t>7,359,000</w:t>
            </w:r>
          </w:p>
        </w:tc>
        <w:tc>
          <w:tcPr>
            <w:tcW w:w="2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6,255,520</w:t>
            </w:r>
          </w:p>
        </w:tc>
        <w:tc>
          <w:tcPr>
            <w:tcW w:w="540" w:type="dxa"/>
            <w:vAlign w:val="bottom"/>
            <w:tcBorders>
              <w:bottom w:val="single" w:sz="8" w:color="auto"/>
            </w:tcBorders>
          </w:tcPr>
          <w:p>
            <w:pPr>
              <w:ind w:left="440"/>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ind w:right="300"/>
              <w:spacing w:after="0" w:line="183" w:lineRule="exact"/>
              <w:rPr>
                <w:sz w:val="20"/>
                <w:szCs w:val="20"/>
                <w:color w:val="auto"/>
              </w:rPr>
            </w:pPr>
            <w:r>
              <w:rPr>
                <w:rFonts w:ascii="Arial" w:cs="Arial" w:eastAsia="Arial" w:hAnsi="Arial"/>
                <w:sz w:val="16"/>
                <w:szCs w:val="16"/>
                <w:color w:val="auto"/>
              </w:rPr>
              <w:t>0.25</w:t>
            </w:r>
          </w:p>
        </w:tc>
      </w:tr>
      <w:tr>
        <w:trPr>
          <w:trHeight w:val="345"/>
        </w:trPr>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2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F-8</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Unless otherwise indicated, options issued to employees, members of the Board of Directors and non-employees are vested over one to three years and are exercisable for a term of ten years from the date of issuance.</w:t>
      </w:r>
    </w:p>
    <w:p>
      <w:pPr>
        <w:spacing w:after="0" w:line="8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weighted average fair value of stock options granted during the six months ended June 30, 2014 was $0.70. The total intrinsic value of options exercised in this period was $25,440. The total intrinsic value of all options outstanding was $829,000 and $3,756,724 and the total intrinsic value of exercisable options was $796,224 and $3,440,172 at June 30, 2014 and December 31, 2013, respectively.</w:t>
      </w:r>
    </w:p>
    <w:p>
      <w:pPr>
        <w:spacing w:after="0" w:line="9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fair values of stock option grants to employees, members of the Board of Directors and non-employees during the six months ended June 30, 2014 and 2013 were measured on the date of grant using Black-Scholes, with the following weighted average assumptions: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June 30, 2014</w:t>
            </w:r>
          </w:p>
        </w:tc>
        <w:tc>
          <w:tcPr>
            <w:tcW w:w="22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December 31, 2013</w:t>
            </w:r>
          </w:p>
        </w:tc>
      </w:tr>
      <w:tr>
        <w:trPr>
          <w:trHeight w:val="183"/>
        </w:trPr>
        <w:tc>
          <w:tcPr>
            <w:tcW w:w="4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Expected volatility</w:t>
            </w:r>
          </w:p>
        </w:tc>
        <w:tc>
          <w:tcPr>
            <w:tcW w:w="4600" w:type="dxa"/>
            <w:vAlign w:val="bottom"/>
            <w:shd w:val="clear" w:color="auto" w:fill="CCEEFF"/>
          </w:tcPr>
          <w:p>
            <w:pPr>
              <w:jc w:val="right"/>
              <w:ind w:right="621"/>
              <w:spacing w:after="0" w:line="183" w:lineRule="exact"/>
              <w:rPr>
                <w:sz w:val="20"/>
                <w:szCs w:val="20"/>
                <w:color w:val="auto"/>
              </w:rPr>
            </w:pPr>
            <w:r>
              <w:rPr>
                <w:rFonts w:ascii="Arial" w:cs="Arial" w:eastAsia="Arial" w:hAnsi="Arial"/>
                <w:sz w:val="16"/>
                <w:szCs w:val="16"/>
                <w:b w:val="1"/>
                <w:bCs w:val="1"/>
                <w:color w:val="auto"/>
              </w:rPr>
              <w:t>142%</w:t>
            </w:r>
          </w:p>
        </w:tc>
        <w:tc>
          <w:tcPr>
            <w:tcW w:w="2280" w:type="dxa"/>
            <w:vAlign w:val="bottom"/>
            <w:shd w:val="clear" w:color="auto" w:fill="CCEEFF"/>
          </w:tcPr>
          <w:p>
            <w:pPr>
              <w:jc w:val="right"/>
              <w:ind w:right="101"/>
              <w:spacing w:after="0" w:line="183" w:lineRule="exact"/>
              <w:rPr>
                <w:sz w:val="20"/>
                <w:szCs w:val="20"/>
                <w:color w:val="auto"/>
              </w:rPr>
            </w:pPr>
            <w:r>
              <w:rPr>
                <w:rFonts w:ascii="Arial" w:cs="Arial" w:eastAsia="Arial" w:hAnsi="Arial"/>
                <w:sz w:val="16"/>
                <w:szCs w:val="16"/>
                <w:color w:val="auto"/>
              </w:rPr>
              <w:t>160%</w:t>
            </w: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Risk free interest rate</w:t>
            </w:r>
          </w:p>
        </w:tc>
        <w:tc>
          <w:tcPr>
            <w:tcW w:w="4600" w:type="dxa"/>
            <w:vAlign w:val="bottom"/>
          </w:tcPr>
          <w:p>
            <w:pPr>
              <w:jc w:val="right"/>
              <w:ind w:right="621"/>
              <w:spacing w:after="0"/>
              <w:rPr>
                <w:sz w:val="20"/>
                <w:szCs w:val="20"/>
                <w:color w:val="auto"/>
              </w:rPr>
            </w:pPr>
            <w:r>
              <w:rPr>
                <w:rFonts w:ascii="Arial" w:cs="Arial" w:eastAsia="Arial" w:hAnsi="Arial"/>
                <w:sz w:val="16"/>
                <w:szCs w:val="16"/>
                <w:b w:val="1"/>
                <w:bCs w:val="1"/>
                <w:color w:val="auto"/>
              </w:rPr>
              <w:t>1.67%</w:t>
            </w:r>
          </w:p>
        </w:tc>
        <w:tc>
          <w:tcPr>
            <w:tcW w:w="2280" w:type="dxa"/>
            <w:vAlign w:val="bottom"/>
          </w:tcPr>
          <w:p>
            <w:pPr>
              <w:jc w:val="right"/>
              <w:ind w:right="101"/>
              <w:spacing w:after="0"/>
              <w:rPr>
                <w:sz w:val="20"/>
                <w:szCs w:val="20"/>
                <w:color w:val="auto"/>
              </w:rPr>
            </w:pPr>
            <w:r>
              <w:rPr>
                <w:rFonts w:ascii="Arial" w:cs="Arial" w:eastAsia="Arial" w:hAnsi="Arial"/>
                <w:sz w:val="16"/>
                <w:szCs w:val="16"/>
                <w:color w:val="auto"/>
              </w:rPr>
              <w:t>1.05%</w:t>
            </w:r>
          </w:p>
        </w:tc>
      </w:tr>
      <w:tr>
        <w:trPr>
          <w:trHeight w:val="189"/>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4600" w:type="dxa"/>
            <w:vAlign w:val="bottom"/>
            <w:shd w:val="clear" w:color="auto" w:fill="CCEEFF"/>
          </w:tcPr>
          <w:p>
            <w:pPr>
              <w:jc w:val="right"/>
              <w:ind w:right="621"/>
              <w:spacing w:after="0"/>
              <w:rPr>
                <w:sz w:val="20"/>
                <w:szCs w:val="20"/>
                <w:color w:val="auto"/>
              </w:rPr>
            </w:pPr>
            <w:r>
              <w:rPr>
                <w:rFonts w:ascii="Arial" w:cs="Arial" w:eastAsia="Arial" w:hAnsi="Arial"/>
                <w:sz w:val="16"/>
                <w:szCs w:val="16"/>
                <w:b w:val="1"/>
                <w:bCs w:val="1"/>
                <w:color w:val="auto"/>
              </w:rPr>
              <w:t>0.0%</w:t>
            </w:r>
          </w:p>
        </w:tc>
        <w:tc>
          <w:tcPr>
            <w:tcW w:w="2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0.0%</w:t>
            </w:r>
          </w:p>
        </w:tc>
      </w:tr>
      <w:tr>
        <w:trPr>
          <w:trHeight w:val="196"/>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Expected life (in years)</w:t>
            </w:r>
          </w:p>
        </w:tc>
        <w:tc>
          <w:tcPr>
            <w:tcW w:w="460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5</w:t>
            </w:r>
          </w:p>
        </w:tc>
        <w:tc>
          <w:tcPr>
            <w:tcW w:w="22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5</w:t>
            </w:r>
          </w:p>
        </w:tc>
      </w:tr>
    </w:tbl>
    <w:p>
      <w:pPr>
        <w:spacing w:after="0" w:line="11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risk-free interest rate is estimated using the Federal Funds interest rate for a period that is commensurate with the expected term of the awards. The expected dividend yield is zero because the Company has never paid a dividend and does not expect to do so for the foreseeable future. The expected life was based on a number of factors including historical experience, vesting provisions, exercise price relative to market price and expected volatility. The Company believes that all groups of employees demonstrate similar exercise and post-vesting termination behavior and, therefore, does not stratify employees into multiple groups. The expected volatility was estimated using the Company’s historical price volatility over a period that is commensurate with the expected term of the awards.</w:t>
      </w:r>
    </w:p>
    <w:p>
      <w:pPr>
        <w:spacing w:after="0" w:line="97"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Total share-based compensation amounted to $153,448 and $32,770 for the six months ended June 30, 2014 and 2013, respectively. At June 30, 2014, the balance of unearned share-based compensation to be expensed in future periods related to unvested share-based awards was $546,971. The period over which the unearned share-based compensation is expected to be earned is approximately three years.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commitments</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June 2013, the Company’s subsidiary in Panama entered into a new two year lease agreement. Under the terms of the lease agreement, the Company is required to make payments totalling $712,834 over the term of the agreement, including $316,800 representing rental payments and $396,034 representing a management fee as all management services and operational expenses of the site were turned over to the landowner. Payments are due in monthly installments and a prepayment of $180,000 was made in 2013 under the terms of the agreement.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March 2013, the Company extended its lease for office space in Maynard, Massachusetts for an additional three years at a total cost of $59,670.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rent expense, including the management fee of the Panama site, under non-cancelable operating leases for the six months ended June 30, 2014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2013 was $189,696 and $33,623, respectively. Future minimum commitments under its operating leases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 June 30, 2014</w:t>
            </w:r>
          </w:p>
        </w:tc>
        <w:tc>
          <w:tcPr>
            <w:tcW w:w="3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Amount</w:t>
            </w:r>
          </w:p>
        </w:tc>
      </w:tr>
      <w:tr>
        <w:trPr>
          <w:trHeight w:val="183"/>
        </w:trPr>
        <w:tc>
          <w:tcPr>
            <w:tcW w:w="7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2014 (remaining 6 months)</w:t>
            </w:r>
          </w:p>
        </w:tc>
        <w:tc>
          <w:tcPr>
            <w:tcW w:w="33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189,945</w:t>
            </w:r>
          </w:p>
        </w:tc>
      </w:tr>
      <w:tr>
        <w:trPr>
          <w:trHeight w:val="189"/>
        </w:trPr>
        <w:tc>
          <w:tcPr>
            <w:tcW w:w="7180" w:type="dxa"/>
            <w:vAlign w:val="bottom"/>
          </w:tcPr>
          <w:p>
            <w:pPr>
              <w:spacing w:after="0"/>
              <w:rPr>
                <w:sz w:val="20"/>
                <w:szCs w:val="20"/>
                <w:color w:val="auto"/>
              </w:rPr>
            </w:pPr>
            <w:r>
              <w:rPr>
                <w:rFonts w:ascii="Arial" w:cs="Arial" w:eastAsia="Arial" w:hAnsi="Arial"/>
                <w:sz w:val="16"/>
                <w:szCs w:val="16"/>
                <w:color w:val="auto"/>
              </w:rPr>
              <w:t>2015</w:t>
            </w:r>
          </w:p>
        </w:tc>
        <w:tc>
          <w:tcPr>
            <w:tcW w:w="336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290,636</w:t>
            </w:r>
          </w:p>
        </w:tc>
      </w:tr>
      <w:tr>
        <w:trPr>
          <w:trHeight w:val="189"/>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2016</w:t>
            </w:r>
          </w:p>
        </w:tc>
        <w:tc>
          <w:tcPr>
            <w:tcW w:w="3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5,221</w:t>
            </w:r>
          </w:p>
        </w:tc>
      </w:tr>
      <w:tr>
        <w:trPr>
          <w:trHeight w:val="190"/>
        </w:trPr>
        <w:tc>
          <w:tcPr>
            <w:tcW w:w="7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Lease commitments</w:t>
            </w:r>
          </w:p>
        </w:tc>
        <w:tc>
          <w:tcPr>
            <w:tcW w:w="3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485,802</w:t>
            </w:r>
          </w:p>
        </w:tc>
      </w:tr>
      <w:tr>
        <w:trPr>
          <w:trHeight w:val="345"/>
        </w:trPr>
        <w:tc>
          <w:tcPr>
            <w:tcW w:w="71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36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F-9</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 was a party to a license agreement with Genesis Group, Inc. (“Genesis”) related to the Company’s transgenic fish program. Under the terms of this agreement, the Company was required to make an annual royalty payment of $25,000 or revenue-based royalty payments equal to 5% of any gross revenues generated from products that utilize the technology covered under the license agreement. No revenue-based royalty payments were made under this agreement.</w:t>
      </w:r>
    </w:p>
    <w:p>
      <w:pPr>
        <w:spacing w:after="0" w:line="9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February 2014, the Company entered into a new license agreement with Genesis that replaced the prior license agreement. Under the new agreement, the Company holds a global, perpetual, royalty-free, fully paid, sub-licensable, assignable, non-exclusive right to the technology covering genetically modified salmonid fish that express endogenous growth hormone under the control of an anti-freeze protein gene promoter from an edible fish. In consideration for this license, the Company agreed to pay to Genesis a one-time payment of C$150,000. This amount, which was included as a component of accounts payable and accrued liabilities at December 31, 2013, was paid in March 2014.</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25"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Company has employment agreements with certain of its officers. The agreements provide for base pay and benefits, as defined. Under certain circumstances of termination, the Company must make severance payments.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 obligation</w:t>
      </w:r>
    </w:p>
    <w:p>
      <w:pPr>
        <w:spacing w:after="0" w:line="20" w:lineRule="exact"/>
        <w:rPr>
          <w:sz w:val="20"/>
          <w:szCs w:val="20"/>
          <w:color w:val="auto"/>
        </w:rPr>
      </w:pPr>
    </w:p>
    <w:p>
      <w:pPr>
        <w:jc w:val="both"/>
        <w:ind w:right="240"/>
        <w:spacing w:after="0" w:line="204" w:lineRule="auto"/>
        <w:rPr>
          <w:sz w:val="20"/>
          <w:szCs w:val="20"/>
          <w:color w:val="auto"/>
        </w:rPr>
      </w:pPr>
      <w:r>
        <w:rPr>
          <w:rFonts w:ascii="Arial" w:cs="Arial" w:eastAsia="Arial" w:hAnsi="Arial"/>
          <w:sz w:val="16"/>
          <w:szCs w:val="16"/>
          <w:color w:val="auto"/>
        </w:rPr>
        <w:t>The Company is obligated to pay a bonus to its Chief Executive Officer of $80,062 upon the successful approval of its AquAdvantage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Salmon New Animal Drug Application by the Food and Drug Administration. The Company has recorded an accrual for this bonus as of June 30, 2014 based on management’s expectation regarding payment.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Related Party Collaboration Agreement</w:t>
      </w:r>
    </w:p>
    <w:p>
      <w:pPr>
        <w:spacing w:after="0" w:line="133"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color w:val="auto"/>
        </w:rPr>
        <w:t>In February 2013, the Company entered into an Exclusive Channel Collaboration agreement (“ECC”) with Intrexon Corporation, its majority shareholder, pursuant to which the Company will use Intrexon’s UltraVector</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and other technology platforms to develop and commercialize additional genetically modified traits in finfish for human consumption. The ECC, which can be terminated by the Company upon 90 days written notice, grants the Company a worldwide license to use specified patents and other intellectual property of Intrexon in connection with the research, development, use, importing, manufacture, sale and offer for sale of products involving DNA administered to finfish for human consumption. Such license is exclusive with respect to any clinical development, selling, offering for sale or other commercialization of developed products, and otherwise is non-exclusive.</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ECC and subject to certain exceptions, the Company is responsible for, among other things, the performance of the program, including development, commercialization and certain aspects of manufacturing developed products. Among other things, Intrexon is responsible for the costs of establishing manufacturing capabilities and facilities for the bulk manufacture of certain products developed under the program, certain other aspects of manufacturing, costs of discovery-stage research with respect to platform improvements and costs of filing, prosecution and maintenance of Intrexon’s patents.</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will pay Intrexon quarterly 16.66% of the gross profits calculated under the terms of the agreement for each developed product. The Company has likewise agreed to pay Intrexon 50% of quarterly revenue obtained from a sublicensor in the event of a sublicensing arrangement. In addition, the Company will reimburse Intrexon for the costs of certain services provided by Intrexon. Total Intrexon service costs incurred under the terms of this agreement for the six months ended June 30, 2014 and 2013 amounted to $483,800 and $106,590, respectively, and is included as a component of research and development expense in the Consolidated Statements of Operations and Comprehensive Loss.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Retirement plan</w:t>
      </w:r>
    </w:p>
    <w:p>
      <w:pPr>
        <w:spacing w:after="0" w:line="13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Company has a savings and retirement plan for its US employees which qualifies under Section 401(k) of the Internal Revenue Code. The plan covers substantially all employees and provides for voluntary contributions by participating employees up to the maximum contribution allowed under the Internal Revenue Code. Contributions by the Company can be made, as determined by the Board of Directors, provided the amount does not exceed the maximum permitted by the Internal Revenue Code. Company contributions made and expensed in operations in connection with the plan during the six months ended June 30, 2014 and 2013 amounted to $13,791 and $12,207,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F-10</w:t>
            </w:r>
          </w:p>
        </w:tc>
      </w:tr>
    </w:tbl>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respectively. The Company also has a Registered Retirement Savings Plan for its Canadian employees. Company contributions made and expensed in operations in connection with the plan during the six months ended June 30, 2014 and 2013 amounted to $8,028 and $6,200, respectively.</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Government assistance</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From time to time the Company receives government assistance in the form of research grants, which are recorded as a reduction of the related expenditures. For the six months ended June 30, 2014 and 2013, grants of $139,607 and $105,536 were recorded as a reduction of expenditures. Included in other receivables at June 30, 2014 and December 31, 2013 are amounts due under research grants totalling $21,893 and $11,096, respectively. All government assistance is subject to periodic audit by the agency involved in the grant.</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Contract Research Agreement</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March 2012, the Company executed a contract research agreement with Tethys Aquaculture Canada Inc. (“TAC”), to provide AquaBounty with the resources required for its ongoing development needs. Under the terms of the extended agreement, TAC will provide services to the Company through April 1, 2014 and on a month-to-month basis thereafter. Total costs incurred under the terms of this agreement for the six months ended June 30, 2014 and 2013 amounted to $166,817 and $192,714, respectively, and is included as a component of research and development expense in the Consolidated Statements of Operations and Comprehensive Loss.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w:t>
      </w:r>
    </w:p>
    <w:p>
      <w:pPr>
        <w:spacing w:after="0" w:line="1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July 2014, the Company received notice that the landlord of its farm site in Panama had died. This resulted in the termination of the lease extension that had been executed in June 2013. There are no further obligations for either party related to this lease and the Company intends to write-off the $45,000 remaining balance of prepaid rent during the quarter ending September 30, 2014. The Company has negotiated a new lease with the heirs of the landlord and the site operations have continued unabated. The new lease term is for twelve months at a total cost of $180,000.</w:t>
      </w:r>
    </w:p>
    <w:p>
      <w:pPr>
        <w:spacing w:after="0" w:line="9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 July 2014, the Company issued stock options for 24,000 shares each to three members of the Board of Directors as part of their annual compensation package.</w:t>
      </w:r>
    </w:p>
    <w:p>
      <w:pPr>
        <w:spacing w:after="0" w:line="89"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In July 2014, the Company issued 71,428 shares of its common stock to the Chairman of the Board of Directors as part of his annual compensation package.</w:t>
      </w:r>
    </w:p>
    <w:p>
      <w:pPr>
        <w:spacing w:after="0" w:line="8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July 2014, the Company received proceeds of $6,300 in connection with the exercise of options to purchase 60,000 shares of common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F-11</w:t>
            </w: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AquaBounty Technologies, Inc.</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statements</w:t>
      </w:r>
    </w:p>
    <w:p>
      <w:pPr>
        <w:spacing w:after="0" w:line="58" w:lineRule="exact"/>
        <w:rPr>
          <w:sz w:val="20"/>
          <w:szCs w:val="20"/>
          <w:color w:val="auto"/>
        </w:rPr>
      </w:pPr>
    </w:p>
    <w:p>
      <w:pPr>
        <w:ind w:right="5480"/>
        <w:spacing w:after="0" w:line="238" w:lineRule="auto"/>
        <w:rPr>
          <w:sz w:val="20"/>
          <w:szCs w:val="20"/>
          <w:color w:val="auto"/>
        </w:rPr>
      </w:pPr>
      <w:r>
        <w:rPr>
          <w:rFonts w:ascii="Arial" w:cs="Arial" w:eastAsia="Arial" w:hAnsi="Arial"/>
          <w:sz w:val="22"/>
          <w:szCs w:val="22"/>
          <w:color w:val="auto"/>
        </w:rPr>
        <w:t>As of December 31, 2013 and 2012 and for each of the three years in the period ended December 31, 2013.</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Board of Directors and Stockholders of AquaBounty Technologies, Inc.:</w:t>
      </w: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have audited the accompanying consolidated balance sheets of AquaBounty Technologies, Inc. as of December 31, 2013 and 2012, and the related consolidated statements of operations and comprehensive loss, changes in stockholders’ equity (deficit),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AquaBounty Technologies, Inc. as of December 31, 2013 and 2012, and the results of its operations and its cash flows for each of the three years in the period ended December 31, 2013, in conformity with U.S. generally accepted accounting principles.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Wolf &amp; Company, P.C.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Wolf &amp; Company, P.C.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23,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F-13</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balance sheets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31 December</w:t>
            </w: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Note</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Current assets:</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1,875,749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348,521</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Certificate of deposit</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13,431</w:t>
            </w:r>
          </w:p>
        </w:tc>
        <w:tc>
          <w:tcPr>
            <w:tcW w:w="36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14,405</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78,455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24,429</w:t>
            </w: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220,888</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127,104</w:t>
            </w: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current assets</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9"/>
              <w:spacing w:after="0" w:line="183" w:lineRule="exact"/>
              <w:rPr>
                <w:sz w:val="20"/>
                <w:szCs w:val="20"/>
                <w:color w:val="auto"/>
              </w:rPr>
            </w:pPr>
            <w:r>
              <w:rPr>
                <w:rFonts w:ascii="Arial" w:cs="Arial" w:eastAsia="Arial" w:hAnsi="Arial"/>
                <w:sz w:val="16"/>
                <w:szCs w:val="16"/>
                <w:b w:val="1"/>
                <w:bCs w:val="1"/>
                <w:color w:val="auto"/>
              </w:rPr>
              <w:t>2,188,523</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514,459</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1,016,843</w:t>
            </w:r>
          </w:p>
        </w:tc>
        <w:tc>
          <w:tcPr>
            <w:tcW w:w="36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1,131,214</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Definite lived intangible assets, net</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141,779</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102,504</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Indefinite lived intangible assets</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191,800</w:t>
            </w:r>
          </w:p>
        </w:tc>
        <w:tc>
          <w:tcPr>
            <w:tcW w:w="36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191,800</w:t>
            </w: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9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21,628</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21,628</w:t>
            </w:r>
          </w:p>
        </w:tc>
        <w:tc>
          <w:tcPr>
            <w:tcW w:w="0" w:type="dxa"/>
            <w:vAlign w:val="bottom"/>
          </w:tcPr>
          <w:p>
            <w:pPr>
              <w:spacing w:after="0"/>
              <w:rPr>
                <w:sz w:val="1"/>
                <w:szCs w:val="1"/>
                <w:color w:val="auto"/>
              </w:rPr>
            </w:pPr>
          </w:p>
        </w:tc>
      </w:tr>
      <w:tr>
        <w:trPr>
          <w:trHeight w:val="190"/>
        </w:trPr>
        <w:tc>
          <w:tcPr>
            <w:tcW w:w="7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3,560,573</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1,961,605</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Current liabilities:</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704,028</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435,849</w:t>
            </w: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debt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_</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270,560</w:t>
            </w: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9"/>
              <w:spacing w:after="0" w:line="183" w:lineRule="exact"/>
              <w:rPr>
                <w:sz w:val="20"/>
                <w:szCs w:val="20"/>
                <w:color w:val="auto"/>
              </w:rPr>
            </w:pPr>
            <w:r>
              <w:rPr>
                <w:rFonts w:ascii="Arial" w:cs="Arial" w:eastAsia="Arial" w:hAnsi="Arial"/>
                <w:sz w:val="16"/>
                <w:szCs w:val="16"/>
                <w:b w:val="1"/>
                <w:bCs w:val="1"/>
                <w:color w:val="auto"/>
              </w:rPr>
              <w:t>704,028</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706,409</w:t>
            </w: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Long-term debt, net of current portion</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2,359,653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2,034,907</w:t>
            </w: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liabilities</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9"/>
              <w:spacing w:after="0" w:line="183" w:lineRule="exact"/>
              <w:rPr>
                <w:sz w:val="20"/>
                <w:szCs w:val="20"/>
                <w:color w:val="auto"/>
              </w:rPr>
            </w:pPr>
            <w:r>
              <w:rPr>
                <w:rFonts w:ascii="Arial" w:cs="Arial" w:eastAsia="Arial" w:hAnsi="Arial"/>
                <w:sz w:val="16"/>
                <w:szCs w:val="16"/>
                <w:b w:val="1"/>
                <w:bCs w:val="1"/>
                <w:color w:val="auto"/>
              </w:rPr>
              <w:t>3,063,681</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2,741,316</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20" w:type="dxa"/>
            <w:vAlign w:val="bottom"/>
          </w:tcPr>
          <w:p>
            <w:pPr>
              <w:spacing w:after="0"/>
              <w:rPr>
                <w:sz w:val="20"/>
                <w:szCs w:val="20"/>
                <w:color w:val="auto"/>
              </w:rPr>
            </w:pPr>
            <w:r>
              <w:rPr>
                <w:rFonts w:ascii="Arial" w:cs="Arial" w:eastAsia="Arial" w:hAnsi="Arial"/>
                <w:sz w:val="16"/>
                <w:szCs w:val="16"/>
                <w:color w:val="auto"/>
              </w:rPr>
              <w:t>Common stock, $0.001 par value, 200,000,000 shares authorized; 125,305,471 (2012: 102,255,688)</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125,305</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20" w:type="dxa"/>
            <w:vAlign w:val="bottom"/>
          </w:tcPr>
          <w:p>
            <w:pPr>
              <w:spacing w:after="0"/>
              <w:rPr>
                <w:sz w:val="20"/>
                <w:szCs w:val="20"/>
                <w:color w:val="auto"/>
              </w:rPr>
            </w:pPr>
            <w:r>
              <w:rPr>
                <w:rFonts w:ascii="Arial" w:cs="Arial" w:eastAsia="Arial" w:hAnsi="Arial"/>
                <w:sz w:val="16"/>
                <w:szCs w:val="16"/>
                <w:color w:val="auto"/>
              </w:rPr>
              <w:t>shares outstanding</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102,256</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77,582,210</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71,733,509</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(566,310)</w:t>
            </w:r>
          </w:p>
        </w:tc>
        <w:tc>
          <w:tcPr>
            <w:tcW w:w="3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(660,201)</w:t>
            </w: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9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(76,644,313)</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(71,955,275)</w:t>
            </w:r>
          </w:p>
        </w:tc>
        <w:tc>
          <w:tcPr>
            <w:tcW w:w="0" w:type="dxa"/>
            <w:vAlign w:val="bottom"/>
          </w:tcPr>
          <w:p>
            <w:pPr>
              <w:spacing w:after="0"/>
              <w:rPr>
                <w:sz w:val="1"/>
                <w:szCs w:val="1"/>
                <w:color w:val="auto"/>
              </w:rPr>
            </w:pPr>
          </w:p>
        </w:tc>
      </w:tr>
      <w:tr>
        <w:trPr>
          <w:trHeight w:val="183"/>
        </w:trPr>
        <w:tc>
          <w:tcPr>
            <w:tcW w:w="7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stockholders’ equity (deficit)</w:t>
            </w: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496,892</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(779,711)</w:t>
            </w:r>
          </w:p>
        </w:tc>
        <w:tc>
          <w:tcPr>
            <w:tcW w:w="0" w:type="dxa"/>
            <w:vAlign w:val="bottom"/>
          </w:tcPr>
          <w:p>
            <w:pPr>
              <w:spacing w:after="0"/>
              <w:rPr>
                <w:sz w:val="1"/>
                <w:szCs w:val="1"/>
                <w:color w:val="auto"/>
              </w:rPr>
            </w:pPr>
          </w:p>
        </w:tc>
      </w:tr>
      <w:tr>
        <w:trPr>
          <w:trHeight w:val="190"/>
        </w:trPr>
        <w:tc>
          <w:tcPr>
            <w:tcW w:w="75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liabilities and stockholders’ equity (deficit)</w:t>
            </w:r>
          </w:p>
        </w:tc>
        <w:tc>
          <w:tcPr>
            <w:tcW w:w="9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b w:val="1"/>
                <w:bCs w:val="1"/>
                <w:color w:val="auto"/>
              </w:rPr>
              <w:t>3,560,573</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1,961,605</w:t>
            </w:r>
          </w:p>
        </w:tc>
        <w:tc>
          <w:tcPr>
            <w:tcW w:w="0" w:type="dxa"/>
            <w:vAlign w:val="bottom"/>
          </w:tcPr>
          <w:p>
            <w:pPr>
              <w:spacing w:after="0"/>
              <w:rPr>
                <w:sz w:val="1"/>
                <w:szCs w:val="1"/>
                <w:color w:val="auto"/>
              </w:rPr>
            </w:pPr>
          </w:p>
        </w:tc>
      </w:tr>
      <w:tr>
        <w:trPr>
          <w:trHeight w:val="305"/>
        </w:trPr>
        <w:tc>
          <w:tcPr>
            <w:tcW w:w="7520" w:type="dxa"/>
            <w:vAlign w:val="bottom"/>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52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F-14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operations and comprehensive loss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Years ended 31 December</w:t>
            </w:r>
          </w:p>
        </w:tc>
        <w:tc>
          <w:tcPr>
            <w:tcW w:w="17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Note</w:t>
            </w: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2011</w:t>
            </w:r>
          </w:p>
        </w:tc>
      </w:tr>
      <w:tr>
        <w:trPr>
          <w:trHeight w:val="183"/>
        </w:trPr>
        <w:tc>
          <w:tcPr>
            <w:tcW w:w="56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COSTS AND EXPENSES</w:t>
            </w:r>
          </w:p>
        </w:tc>
        <w:tc>
          <w:tcPr>
            <w:tcW w:w="17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5680" w:type="dxa"/>
            <w:vAlign w:val="bottom"/>
          </w:tcPr>
          <w:p>
            <w:pPr>
              <w:spacing w:after="0"/>
              <w:rPr>
                <w:sz w:val="20"/>
                <w:szCs w:val="20"/>
                <w:color w:val="auto"/>
              </w:rPr>
            </w:pPr>
            <w:r>
              <w:rPr>
                <w:rFonts w:ascii="Arial" w:cs="Arial" w:eastAsia="Arial" w:hAnsi="Arial"/>
                <w:sz w:val="16"/>
                <w:szCs w:val="16"/>
                <w:color w:val="auto"/>
              </w:rPr>
              <w:t>Sales and marketing</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b w:val="1"/>
                <w:bCs w:val="1"/>
                <w:color w:val="auto"/>
              </w:rPr>
              <w:t>678,153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581,954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673,306</w:t>
            </w:r>
          </w:p>
        </w:tc>
      </w:tr>
      <w:tr>
        <w:trPr>
          <w:trHeight w:val="189"/>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1,895,056</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1,628,593</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2,165,270</w:t>
            </w:r>
          </w:p>
        </w:tc>
      </w:tr>
      <w:tr>
        <w:trPr>
          <w:trHeight w:val="189"/>
        </w:trPr>
        <w:tc>
          <w:tcPr>
            <w:tcW w:w="56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780" w:type="dxa"/>
            <w:vAlign w:val="bottom"/>
          </w:tcPr>
          <w:p>
            <w:pPr>
              <w:spacing w:after="0"/>
              <w:rPr>
                <w:sz w:val="16"/>
                <w:szCs w:val="16"/>
                <w:color w:val="auto"/>
              </w:rPr>
            </w:pPr>
          </w:p>
        </w:tc>
        <w:tc>
          <w:tcPr>
            <w:tcW w:w="1180" w:type="dxa"/>
            <w:vAlign w:val="bottom"/>
          </w:tcPr>
          <w:p>
            <w:pPr>
              <w:jc w:val="right"/>
              <w:ind w:right="160"/>
              <w:spacing w:after="0"/>
              <w:rPr>
                <w:sz w:val="20"/>
                <w:szCs w:val="20"/>
                <w:color w:val="auto"/>
              </w:rPr>
            </w:pPr>
            <w:r>
              <w:rPr>
                <w:rFonts w:ascii="Arial" w:cs="Arial" w:eastAsia="Arial" w:hAnsi="Arial"/>
                <w:sz w:val="16"/>
                <w:szCs w:val="16"/>
                <w:b w:val="1"/>
                <w:bCs w:val="1"/>
                <w:color w:val="auto"/>
              </w:rPr>
              <w:t>2,302,279</w:t>
            </w:r>
          </w:p>
        </w:tc>
        <w:tc>
          <w:tcPr>
            <w:tcW w:w="300" w:type="dxa"/>
            <w:vAlign w:val="bottom"/>
          </w:tcPr>
          <w:p>
            <w:pPr>
              <w:spacing w:after="0"/>
              <w:rPr>
                <w:sz w:val="16"/>
                <w:szCs w:val="16"/>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2,101,260</w:t>
            </w:r>
          </w:p>
        </w:tc>
        <w:tc>
          <w:tcPr>
            <w:tcW w:w="3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2,577,320</w:t>
            </w:r>
          </w:p>
        </w:tc>
      </w:tr>
      <w:tr>
        <w:trPr>
          <w:trHeight w:val="189"/>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Restructuring charge</w:t>
            </w:r>
          </w:p>
        </w:tc>
        <w:tc>
          <w:tcPr>
            <w:tcW w:w="17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93,780</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183"/>
        </w:trPr>
        <w:tc>
          <w:tcPr>
            <w:tcW w:w="56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costs and expenses</w:t>
            </w:r>
          </w:p>
        </w:tc>
        <w:tc>
          <w:tcPr>
            <w:tcW w:w="1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4,875,488</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4,405,587</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5,415,896</w:t>
            </w:r>
          </w:p>
        </w:tc>
      </w:tr>
      <w:tr>
        <w:trPr>
          <w:trHeight w:val="183"/>
        </w:trPr>
        <w:tc>
          <w:tcPr>
            <w:tcW w:w="56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LOSS</w:t>
            </w:r>
          </w:p>
        </w:tc>
        <w:tc>
          <w:tcPr>
            <w:tcW w:w="1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0"/>
              <w:spacing w:after="0" w:line="183" w:lineRule="exact"/>
              <w:rPr>
                <w:sz w:val="20"/>
                <w:szCs w:val="20"/>
                <w:color w:val="auto"/>
              </w:rPr>
            </w:pPr>
            <w:r>
              <w:rPr>
                <w:rFonts w:ascii="Arial" w:cs="Arial" w:eastAsia="Arial" w:hAnsi="Arial"/>
                <w:sz w:val="16"/>
                <w:szCs w:val="16"/>
                <w:b w:val="1"/>
                <w:bCs w:val="1"/>
                <w:color w:val="auto"/>
              </w:rPr>
              <w:t>(4,875,488)</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(4,405,587)</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(5,415,896)</w:t>
            </w:r>
          </w:p>
        </w:tc>
      </w:tr>
      <w:tr>
        <w:trPr>
          <w:trHeight w:val="189"/>
        </w:trPr>
        <w:tc>
          <w:tcPr>
            <w:tcW w:w="56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Gain on royalty based financing instrument</w:t>
            </w:r>
          </w:p>
        </w:tc>
        <w:tc>
          <w:tcPr>
            <w:tcW w:w="178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186,980</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2,709,602</w:t>
            </w:r>
          </w:p>
        </w:tc>
      </w:tr>
      <w:tr>
        <w:trPr>
          <w:trHeight w:val="189"/>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and other expense, net</w:t>
            </w:r>
          </w:p>
        </w:tc>
        <w:tc>
          <w:tcPr>
            <w:tcW w:w="1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(530)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(9,026)</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(3,301)</w:t>
            </w:r>
          </w:p>
        </w:tc>
      </w:tr>
      <w:tr>
        <w:trPr>
          <w:trHeight w:val="183"/>
        </w:trPr>
        <w:tc>
          <w:tcPr>
            <w:tcW w:w="5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other income (expense)</w:t>
            </w:r>
          </w:p>
        </w:tc>
        <w:tc>
          <w:tcPr>
            <w:tcW w:w="17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60"/>
              <w:spacing w:after="0" w:line="183" w:lineRule="exact"/>
              <w:rPr>
                <w:sz w:val="20"/>
                <w:szCs w:val="20"/>
                <w:color w:val="auto"/>
              </w:rPr>
            </w:pPr>
            <w:r>
              <w:rPr>
                <w:rFonts w:ascii="Arial" w:cs="Arial" w:eastAsia="Arial" w:hAnsi="Arial"/>
                <w:sz w:val="16"/>
                <w:szCs w:val="16"/>
                <w:b w:val="1"/>
                <w:bCs w:val="1"/>
                <w:color w:val="auto"/>
              </w:rPr>
              <w:t>186,450</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(9,026)</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2,706,301</w:t>
            </w:r>
          </w:p>
        </w:tc>
      </w:tr>
      <w:tr>
        <w:trPr>
          <w:trHeight w:val="183"/>
        </w:trPr>
        <w:tc>
          <w:tcPr>
            <w:tcW w:w="56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LOSS</w:t>
            </w:r>
          </w:p>
        </w:tc>
        <w:tc>
          <w:tcPr>
            <w:tcW w:w="1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b w:val="1"/>
                <w:bCs w:val="1"/>
                <w:color w:val="auto"/>
              </w:rPr>
              <w:t>(4,689,038)</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0"/>
              <w:spacing w:after="0" w:line="183" w:lineRule="exact"/>
              <w:rPr>
                <w:sz w:val="20"/>
                <w:szCs w:val="20"/>
                <w:color w:val="auto"/>
              </w:rPr>
            </w:pPr>
            <w:r>
              <w:rPr>
                <w:rFonts w:ascii="Arial" w:cs="Arial" w:eastAsia="Arial" w:hAnsi="Arial"/>
                <w:sz w:val="16"/>
                <w:szCs w:val="16"/>
                <w:color w:val="auto"/>
              </w:rPr>
              <w:t>(4,414,613)</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(2,709,595)</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568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OTHER COMPREHENSIVE INCOME (LOSS):</w:t>
            </w:r>
          </w:p>
        </w:tc>
        <w:tc>
          <w:tcPr>
            <w:tcW w:w="1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9"/>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translation gain (loss)</w:t>
            </w:r>
          </w:p>
        </w:tc>
        <w:tc>
          <w:tcPr>
            <w:tcW w:w="1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93,891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(9,397)</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72,557</w:t>
            </w:r>
          </w:p>
        </w:tc>
      </w:tr>
      <w:tr>
        <w:trPr>
          <w:trHeight w:val="183"/>
        </w:trPr>
        <w:tc>
          <w:tcPr>
            <w:tcW w:w="5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Unrealized losses on marketable securities</w:t>
            </w:r>
          </w:p>
        </w:tc>
        <w:tc>
          <w:tcPr>
            <w:tcW w:w="17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(77)</w:t>
            </w:r>
          </w:p>
        </w:tc>
      </w:tr>
      <w:tr>
        <w:trPr>
          <w:trHeight w:val="183"/>
        </w:trPr>
        <w:tc>
          <w:tcPr>
            <w:tcW w:w="56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other comprehensive income (loss)</w:t>
            </w:r>
          </w:p>
        </w:tc>
        <w:tc>
          <w:tcPr>
            <w:tcW w:w="1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93,891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0"/>
              <w:spacing w:after="0" w:line="183" w:lineRule="exact"/>
              <w:rPr>
                <w:sz w:val="20"/>
                <w:szCs w:val="20"/>
                <w:color w:val="auto"/>
              </w:rPr>
            </w:pPr>
            <w:r>
              <w:rPr>
                <w:rFonts w:ascii="Arial" w:cs="Arial" w:eastAsia="Arial" w:hAnsi="Arial"/>
                <w:sz w:val="16"/>
                <w:szCs w:val="16"/>
                <w:color w:val="auto"/>
              </w:rPr>
              <w:t>(9,397)</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72,480</w:t>
            </w:r>
          </w:p>
        </w:tc>
      </w:tr>
      <w:tr>
        <w:trPr>
          <w:trHeight w:val="183"/>
        </w:trPr>
        <w:tc>
          <w:tcPr>
            <w:tcW w:w="5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COMPREHENSIVE LOSS</w:t>
            </w:r>
          </w:p>
        </w:tc>
        <w:tc>
          <w:tcPr>
            <w:tcW w:w="1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120"/>
              <w:spacing w:after="0" w:line="183" w:lineRule="exact"/>
              <w:rPr>
                <w:sz w:val="20"/>
                <w:szCs w:val="20"/>
                <w:color w:val="auto"/>
              </w:rPr>
            </w:pPr>
            <w:r>
              <w:rPr>
                <w:rFonts w:ascii="Arial" w:cs="Arial" w:eastAsia="Arial" w:hAnsi="Arial"/>
                <w:sz w:val="16"/>
                <w:szCs w:val="16"/>
                <w:b w:val="1"/>
                <w:bCs w:val="1"/>
                <w:color w:val="auto"/>
              </w:rPr>
              <w:t>(4,595,147)</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(4,424,010)</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(2,637,115)</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568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Basic and diluted net loss per share</w:t>
            </w:r>
          </w:p>
        </w:tc>
        <w:tc>
          <w:tcPr>
            <w:tcW w:w="1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120"/>
              <w:spacing w:after="0" w:line="170" w:lineRule="exact"/>
              <w:rPr>
                <w:sz w:val="20"/>
                <w:szCs w:val="20"/>
                <w:color w:val="auto"/>
              </w:rPr>
            </w:pPr>
            <w:r>
              <w:rPr>
                <w:rFonts w:ascii="Arial" w:cs="Arial" w:eastAsia="Arial" w:hAnsi="Arial"/>
                <w:sz w:val="16"/>
                <w:szCs w:val="16"/>
                <w:b w:val="1"/>
                <w:bCs w:val="1"/>
                <w:color w:val="auto"/>
              </w:rPr>
              <w:t>(0.04)</w:t>
            </w:r>
          </w:p>
        </w:tc>
        <w:tc>
          <w:tcPr>
            <w:tcW w:w="3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0"/>
              <w:spacing w:after="0" w:line="170" w:lineRule="exact"/>
              <w:rPr>
                <w:sz w:val="20"/>
                <w:szCs w:val="20"/>
                <w:color w:val="auto"/>
              </w:rPr>
            </w:pPr>
            <w:r>
              <w:rPr>
                <w:rFonts w:ascii="Arial" w:cs="Arial" w:eastAsia="Arial" w:hAnsi="Arial"/>
                <w:sz w:val="16"/>
                <w:szCs w:val="16"/>
                <w:color w:val="auto"/>
              </w:rPr>
              <w:t>(0.05)</w:t>
            </w:r>
          </w:p>
        </w:tc>
        <w:tc>
          <w:tcPr>
            <w:tcW w:w="3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line="170" w:lineRule="exact"/>
              <w:rPr>
                <w:sz w:val="20"/>
                <w:szCs w:val="20"/>
                <w:color w:val="auto"/>
              </w:rPr>
            </w:pPr>
            <w:r>
              <w:rPr>
                <w:rFonts w:ascii="Arial" w:cs="Arial" w:eastAsia="Arial" w:hAnsi="Arial"/>
                <w:sz w:val="16"/>
                <w:szCs w:val="16"/>
                <w:color w:val="auto"/>
              </w:rPr>
              <w:t>(0.04)</w:t>
            </w:r>
          </w:p>
        </w:tc>
      </w:tr>
      <w:tr>
        <w:trPr>
          <w:trHeight w:val="215"/>
        </w:trPr>
        <w:tc>
          <w:tcPr>
            <w:tcW w:w="5680" w:type="dxa"/>
            <w:vAlign w:val="bottom"/>
          </w:tcPr>
          <w:p>
            <w:pPr>
              <w:spacing w:after="0"/>
              <w:rPr>
                <w:sz w:val="20"/>
                <w:szCs w:val="20"/>
                <w:color w:val="auto"/>
              </w:rPr>
            </w:pPr>
            <w:r>
              <w:rPr>
                <w:rFonts w:ascii="Arial" w:cs="Arial" w:eastAsia="Arial" w:hAnsi="Arial"/>
                <w:sz w:val="16"/>
                <w:szCs w:val="16"/>
                <w:color w:val="auto"/>
              </w:rPr>
              <w:t>Weighted average number of common shares – basic and diluted</w:t>
            </w:r>
          </w:p>
        </w:tc>
        <w:tc>
          <w:tcPr>
            <w:tcW w:w="1780" w:type="dxa"/>
            <w:vAlign w:val="bottom"/>
          </w:tcPr>
          <w:p>
            <w:pPr>
              <w:spacing w:after="0"/>
              <w:rPr>
                <w:sz w:val="18"/>
                <w:szCs w:val="18"/>
                <w:color w:val="auto"/>
              </w:rPr>
            </w:pPr>
          </w:p>
        </w:tc>
        <w:tc>
          <w:tcPr>
            <w:tcW w:w="1180" w:type="dxa"/>
            <w:vAlign w:val="bottom"/>
          </w:tcPr>
          <w:p>
            <w:pPr>
              <w:jc w:val="right"/>
              <w:ind w:right="160"/>
              <w:spacing w:after="0"/>
              <w:rPr>
                <w:sz w:val="20"/>
                <w:szCs w:val="20"/>
                <w:color w:val="auto"/>
              </w:rPr>
            </w:pPr>
            <w:r>
              <w:rPr>
                <w:rFonts w:ascii="Arial" w:cs="Arial" w:eastAsia="Arial" w:hAnsi="Arial"/>
                <w:sz w:val="16"/>
                <w:szCs w:val="16"/>
                <w:b w:val="1"/>
                <w:bCs w:val="1"/>
                <w:color w:val="auto"/>
              </w:rPr>
              <w:t>120,613,246</w:t>
            </w:r>
          </w:p>
        </w:tc>
        <w:tc>
          <w:tcPr>
            <w:tcW w:w="30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94,701,028</w:t>
            </w:r>
          </w:p>
        </w:tc>
        <w:tc>
          <w:tcPr>
            <w:tcW w:w="34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68,570,857</w:t>
            </w:r>
          </w:p>
        </w:tc>
      </w:tr>
      <w:tr>
        <w:trPr>
          <w:trHeight w:val="360"/>
        </w:trPr>
        <w:tc>
          <w:tcPr>
            <w:tcW w:w="5680" w:type="dxa"/>
            <w:vAlign w:val="bottom"/>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8"/>
        </w:trPr>
        <w:tc>
          <w:tcPr>
            <w:tcW w:w="56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F-15</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changes in stockholders’ equity (deficit)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80" w:type="dxa"/>
            <w:vAlign w:val="bottom"/>
          </w:tcPr>
          <w:p>
            <w:pPr>
              <w:jc w:val="center"/>
              <w:ind w:right="21"/>
              <w:spacing w:after="0"/>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280" w:type="dxa"/>
            <w:vAlign w:val="bottom"/>
          </w:tcPr>
          <w:p>
            <w:pPr>
              <w:jc w:val="center"/>
              <w:ind w:right="1"/>
              <w:spacing w:after="0"/>
              <w:rPr>
                <w:sz w:val="20"/>
                <w:szCs w:val="20"/>
                <w:color w:val="auto"/>
              </w:rPr>
            </w:pPr>
            <w:r>
              <w:rPr>
                <w:rFonts w:ascii="Arial" w:cs="Arial" w:eastAsia="Arial" w:hAnsi="Arial"/>
                <w:sz w:val="14"/>
                <w:szCs w:val="14"/>
                <w:color w:val="auto"/>
              </w:rPr>
              <w:t>stock issued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280" w:type="dxa"/>
            <w:vAlign w:val="bottom"/>
          </w:tcPr>
          <w:p>
            <w:pPr>
              <w:jc w:val="center"/>
              <w:ind w:right="1"/>
              <w:spacing w:after="0"/>
              <w:rPr>
                <w:sz w:val="20"/>
                <w:szCs w:val="20"/>
                <w:color w:val="auto"/>
              </w:rPr>
            </w:pPr>
            <w:r>
              <w:rPr>
                <w:rFonts w:ascii="Arial" w:cs="Arial" w:eastAsia="Arial" w:hAnsi="Arial"/>
                <w:sz w:val="14"/>
                <w:szCs w:val="14"/>
                <w:color w:val="auto"/>
              </w:rPr>
              <w:t>and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0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4"/>
                <w:szCs w:val="14"/>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color w:val="auto"/>
              </w:rPr>
              <w:t>comprehensive</w:t>
            </w:r>
          </w:p>
        </w:tc>
        <w:tc>
          <w:tcPr>
            <w:tcW w:w="220" w:type="dxa"/>
            <w:vAlign w:val="bottom"/>
          </w:tcPr>
          <w:p>
            <w:pPr>
              <w:spacing w:after="0"/>
              <w:rPr>
                <w:sz w:val="14"/>
                <w:szCs w:val="14"/>
                <w:color w:val="auto"/>
              </w:rPr>
            </w:pPr>
          </w:p>
        </w:tc>
        <w:tc>
          <w:tcPr>
            <w:tcW w:w="1200" w:type="dxa"/>
            <w:vAlign w:val="bottom"/>
          </w:tcPr>
          <w:p>
            <w:pPr>
              <w:jc w:val="right"/>
              <w:ind w:right="24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7"/>
        </w:trPr>
        <w:tc>
          <w:tcPr>
            <w:tcW w:w="36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1"/>
              <w:spacing w:after="0" w:line="157" w:lineRule="exact"/>
              <w:rPr>
                <w:sz w:val="20"/>
                <w:szCs w:val="20"/>
                <w:color w:val="auto"/>
              </w:rPr>
            </w:pPr>
            <w:r>
              <w:rPr>
                <w:rFonts w:ascii="Arial" w:cs="Arial" w:eastAsia="Arial" w:hAnsi="Arial"/>
                <w:sz w:val="14"/>
                <w:szCs w:val="14"/>
                <w:color w:val="auto"/>
              </w:rPr>
              <w:t>outstanding</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40"/>
              <w:spacing w:after="0" w:line="157" w:lineRule="exact"/>
              <w:rPr>
                <w:sz w:val="20"/>
                <w:szCs w:val="20"/>
                <w:color w:val="auto"/>
              </w:rPr>
            </w:pPr>
            <w:r>
              <w:rPr>
                <w:rFonts w:ascii="Arial" w:cs="Arial" w:eastAsia="Arial" w:hAnsi="Arial"/>
                <w:sz w:val="14"/>
                <w:szCs w:val="14"/>
                <w:color w:val="auto"/>
              </w:rPr>
              <w:t>Par value</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80"/>
              <w:spacing w:after="0" w:line="157" w:lineRule="exact"/>
              <w:rPr>
                <w:sz w:val="20"/>
                <w:szCs w:val="20"/>
                <w:color w:val="auto"/>
              </w:rPr>
            </w:pPr>
            <w:r>
              <w:rPr>
                <w:rFonts w:ascii="Arial" w:cs="Arial" w:eastAsia="Arial" w:hAnsi="Arial"/>
                <w:sz w:val="14"/>
                <w:szCs w:val="14"/>
                <w:color w:val="auto"/>
              </w:rPr>
              <w:t>paid-in capital</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7" w:lineRule="exact"/>
              <w:rPr>
                <w:sz w:val="20"/>
                <w:szCs w:val="20"/>
                <w:color w:val="auto"/>
              </w:rPr>
            </w:pPr>
            <w:r>
              <w:rPr>
                <w:rFonts w:ascii="Arial" w:cs="Arial" w:eastAsia="Arial" w:hAnsi="Arial"/>
                <w:sz w:val="14"/>
                <w:szCs w:val="14"/>
                <w:color w:val="auto"/>
              </w:rPr>
              <w:t>loss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81"/>
              <w:spacing w:after="0" w:line="157" w:lineRule="exact"/>
              <w:rPr>
                <w:sz w:val="20"/>
                <w:szCs w:val="20"/>
                <w:color w:val="auto"/>
              </w:rPr>
            </w:pPr>
            <w:r>
              <w:rPr>
                <w:rFonts w:ascii="Arial" w:cs="Arial" w:eastAsia="Arial" w:hAnsi="Arial"/>
                <w:sz w:val="14"/>
                <w:szCs w:val="14"/>
                <w:color w:val="auto"/>
              </w:rPr>
              <w:t>deficit</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7" w:lineRule="exact"/>
              <w:rPr>
                <w:sz w:val="20"/>
                <w:szCs w:val="20"/>
                <w:color w:val="auto"/>
              </w:rPr>
            </w:pPr>
            <w:r>
              <w:rPr>
                <w:rFonts w:ascii="Arial" w:cs="Arial" w:eastAsia="Arial" w:hAnsi="Arial"/>
                <w:sz w:val="14"/>
                <w:szCs w:val="14"/>
                <w:color w:val="auto"/>
              </w:rPr>
              <w:t>Total</w:t>
            </w: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31 December 2010</w:t>
            </w:r>
          </w:p>
        </w:tc>
        <w:tc>
          <w:tcPr>
            <w:tcW w:w="1280" w:type="dxa"/>
            <w:vAlign w:val="bottom"/>
            <w:shd w:val="clear" w:color="auto" w:fill="CCEEFF"/>
          </w:tcPr>
          <w:p>
            <w:pPr>
              <w:jc w:val="right"/>
              <w:ind w:right="41"/>
              <w:spacing w:after="0" w:line="183" w:lineRule="exact"/>
              <w:rPr>
                <w:sz w:val="20"/>
                <w:szCs w:val="20"/>
                <w:color w:val="auto"/>
              </w:rPr>
            </w:pPr>
            <w:r>
              <w:rPr>
                <w:rFonts w:ascii="Arial" w:cs="Arial" w:eastAsia="Arial" w:hAnsi="Arial"/>
                <w:sz w:val="16"/>
                <w:szCs w:val="16"/>
                <w:color w:val="auto"/>
              </w:rPr>
              <w:t>68,167,109</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68,167</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69,447,376</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line="183" w:lineRule="exact"/>
              <w:rPr>
                <w:sz w:val="20"/>
                <w:szCs w:val="20"/>
                <w:color w:val="auto"/>
              </w:rPr>
            </w:pPr>
            <w:r>
              <w:rPr>
                <w:rFonts w:ascii="Arial" w:cs="Arial" w:eastAsia="Arial" w:hAnsi="Arial"/>
                <w:sz w:val="16"/>
                <w:szCs w:val="16"/>
                <w:color w:val="auto"/>
              </w:rPr>
              <w:t>(723,284)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(64,831,067)</w:t>
            </w:r>
          </w:p>
        </w:tc>
        <w:tc>
          <w:tcPr>
            <w:tcW w:w="28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3,961,192</w:t>
            </w: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(2,709,595)</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(2,709,595)</w:t>
            </w: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72,480</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72,480</w:t>
            </w: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Exercise of options for common stock</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387,273</w:t>
            </w:r>
          </w:p>
        </w:tc>
        <w:tc>
          <w:tcPr>
            <w:tcW w:w="2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387</w:t>
            </w:r>
          </w:p>
        </w:tc>
        <w:tc>
          <w:tcPr>
            <w:tcW w:w="20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3,486</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3,873</w:t>
            </w: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Share based compensation – common stock</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226,586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23,859</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24,086</w:t>
            </w:r>
          </w:p>
        </w:tc>
      </w:tr>
      <w:tr>
        <w:trPr>
          <w:trHeight w:val="189"/>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based compensation – options</w:t>
            </w: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225,477</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225,477</w:t>
            </w: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31 December 2011</w:t>
            </w:r>
          </w:p>
        </w:tc>
        <w:tc>
          <w:tcPr>
            <w:tcW w:w="1280" w:type="dxa"/>
            <w:vAlign w:val="bottom"/>
            <w:shd w:val="clear" w:color="auto" w:fill="CCEEFF"/>
          </w:tcPr>
          <w:p>
            <w:pPr>
              <w:jc w:val="right"/>
              <w:ind w:right="41"/>
              <w:spacing w:after="0" w:line="183" w:lineRule="exact"/>
              <w:rPr>
                <w:sz w:val="20"/>
                <w:szCs w:val="20"/>
                <w:color w:val="auto"/>
              </w:rPr>
            </w:pPr>
            <w:r>
              <w:rPr>
                <w:rFonts w:ascii="Arial" w:cs="Arial" w:eastAsia="Arial" w:hAnsi="Arial"/>
                <w:sz w:val="16"/>
                <w:szCs w:val="16"/>
                <w:color w:val="auto"/>
              </w:rPr>
              <w:t>68,780,968</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68,781</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69,700,198</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line="183" w:lineRule="exact"/>
              <w:rPr>
                <w:sz w:val="20"/>
                <w:szCs w:val="20"/>
                <w:color w:val="auto"/>
              </w:rPr>
            </w:pPr>
            <w:r>
              <w:rPr>
                <w:rFonts w:ascii="Arial" w:cs="Arial" w:eastAsia="Arial" w:hAnsi="Arial"/>
                <w:sz w:val="16"/>
                <w:szCs w:val="16"/>
                <w:color w:val="auto"/>
              </w:rPr>
              <w:t>(650,804)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(67,540,662)</w:t>
            </w:r>
          </w:p>
        </w:tc>
        <w:tc>
          <w:tcPr>
            <w:tcW w:w="28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1,577,513</w:t>
            </w: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(4,414,613)</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(4,414,613)</w:t>
            </w: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(9,397)</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Issuance of common stock, net of expenses</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33,277,870</w:t>
            </w:r>
          </w:p>
        </w:tc>
        <w:tc>
          <w:tcPr>
            <w:tcW w:w="2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33,278</w:t>
            </w:r>
          </w:p>
        </w:tc>
        <w:tc>
          <w:tcPr>
            <w:tcW w:w="20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1,709,200</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1,742,478</w:t>
            </w: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Share based compensation – common stock</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196,850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23,353</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23,550</w:t>
            </w:r>
          </w:p>
        </w:tc>
      </w:tr>
      <w:tr>
        <w:trPr>
          <w:trHeight w:val="189"/>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based compensation – options</w:t>
            </w: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300,758</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300,758</w:t>
            </w: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31 December 2012</w:t>
            </w:r>
          </w:p>
        </w:tc>
        <w:tc>
          <w:tcPr>
            <w:tcW w:w="1280" w:type="dxa"/>
            <w:vAlign w:val="bottom"/>
            <w:shd w:val="clear" w:color="auto" w:fill="CCEEFF"/>
          </w:tcPr>
          <w:p>
            <w:pPr>
              <w:jc w:val="right"/>
              <w:ind w:right="41"/>
              <w:spacing w:after="0" w:line="183" w:lineRule="exact"/>
              <w:rPr>
                <w:sz w:val="20"/>
                <w:szCs w:val="20"/>
                <w:color w:val="auto"/>
              </w:rPr>
            </w:pPr>
            <w:r>
              <w:rPr>
                <w:rFonts w:ascii="Arial" w:cs="Arial" w:eastAsia="Arial" w:hAnsi="Arial"/>
                <w:sz w:val="16"/>
                <w:szCs w:val="16"/>
                <w:color w:val="auto"/>
              </w:rPr>
              <w:t>102,255,688</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102,256</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71,733,509</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line="183" w:lineRule="exact"/>
              <w:rPr>
                <w:sz w:val="20"/>
                <w:szCs w:val="20"/>
                <w:color w:val="auto"/>
              </w:rPr>
            </w:pPr>
            <w:r>
              <w:rPr>
                <w:rFonts w:ascii="Arial" w:cs="Arial" w:eastAsia="Arial" w:hAnsi="Arial"/>
                <w:sz w:val="16"/>
                <w:szCs w:val="16"/>
                <w:color w:val="auto"/>
              </w:rPr>
              <w:t>(660,201)</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(71,955,275)</w:t>
            </w:r>
          </w:p>
        </w:tc>
        <w:tc>
          <w:tcPr>
            <w:tcW w:w="28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(779,711)</w:t>
            </w:r>
          </w:p>
        </w:tc>
      </w:tr>
      <w:tr>
        <w:trPr>
          <w:trHeight w:val="189"/>
        </w:trPr>
        <w:tc>
          <w:tcPr>
            <w:tcW w:w="362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(4,689,038)</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(4,689,038)</w:t>
            </w: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93,891</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93,891</w:t>
            </w:r>
          </w:p>
        </w:tc>
      </w:tr>
      <w:tr>
        <w:trPr>
          <w:trHeight w:val="189"/>
        </w:trPr>
        <w:tc>
          <w:tcPr>
            <w:tcW w:w="3620" w:type="dxa"/>
            <w:vAlign w:val="bottom"/>
          </w:tcPr>
          <w:p>
            <w:pPr>
              <w:spacing w:after="0"/>
              <w:rPr>
                <w:sz w:val="20"/>
                <w:szCs w:val="20"/>
                <w:color w:val="auto"/>
              </w:rPr>
            </w:pPr>
            <w:r>
              <w:rPr>
                <w:rFonts w:ascii="Arial" w:cs="Arial" w:eastAsia="Arial" w:hAnsi="Arial"/>
                <w:sz w:val="16"/>
                <w:szCs w:val="16"/>
                <w:b w:val="1"/>
                <w:bCs w:val="1"/>
                <w:color w:val="auto"/>
              </w:rPr>
              <w:t>Issuance of common stock, net of expenses</w:t>
            </w: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22,883,295</w:t>
            </w:r>
          </w:p>
        </w:tc>
        <w:tc>
          <w:tcPr>
            <w:tcW w:w="2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22,883</w:t>
            </w:r>
          </w:p>
        </w:tc>
        <w:tc>
          <w:tcPr>
            <w:tcW w:w="20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b w:val="1"/>
                <w:bCs w:val="1"/>
                <w:color w:val="auto"/>
              </w:rPr>
              <w:t>5,702,724</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5,725,607</w:t>
            </w: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Exercise of options for common stock</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29,500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29</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3,971</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4,000</w:t>
            </w:r>
          </w:p>
        </w:tc>
      </w:tr>
      <w:tr>
        <w:trPr>
          <w:trHeight w:val="171"/>
        </w:trPr>
        <w:tc>
          <w:tcPr>
            <w:tcW w:w="3620" w:type="dxa"/>
            <w:vAlign w:val="bottom"/>
          </w:tcPr>
          <w:p>
            <w:pPr>
              <w:spacing w:after="0" w:line="171" w:lineRule="exact"/>
              <w:rPr>
                <w:sz w:val="20"/>
                <w:szCs w:val="20"/>
                <w:color w:val="auto"/>
              </w:rPr>
            </w:pPr>
            <w:r>
              <w:rPr>
                <w:rFonts w:ascii="Arial" w:cs="Arial" w:eastAsia="Arial" w:hAnsi="Arial"/>
                <w:sz w:val="16"/>
                <w:szCs w:val="16"/>
                <w:b w:val="1"/>
                <w:bCs w:val="1"/>
                <w:color w:val="auto"/>
              </w:rPr>
              <w:t>Exercise of options for common stock—</w:t>
            </w:r>
          </w:p>
        </w:tc>
        <w:tc>
          <w:tcPr>
            <w:tcW w:w="1280" w:type="dxa"/>
            <w:vAlign w:val="bottom"/>
          </w:tcPr>
          <w:p>
            <w:pPr>
              <w:jc w:val="right"/>
              <w:ind w:right="41"/>
              <w:spacing w:after="0" w:line="171" w:lineRule="exact"/>
              <w:rPr>
                <w:sz w:val="20"/>
                <w:szCs w:val="20"/>
                <w:color w:val="auto"/>
              </w:rPr>
            </w:pPr>
            <w:r>
              <w:rPr>
                <w:rFonts w:ascii="Arial" w:cs="Arial" w:eastAsia="Arial" w:hAnsi="Arial"/>
                <w:sz w:val="16"/>
                <w:szCs w:val="16"/>
                <w:b w:val="1"/>
                <w:bCs w:val="1"/>
                <w:color w:val="auto"/>
              </w:rPr>
              <w:t>71,771</w:t>
            </w:r>
          </w:p>
        </w:tc>
        <w:tc>
          <w:tcPr>
            <w:tcW w:w="200" w:type="dxa"/>
            <w:vAlign w:val="bottom"/>
          </w:tcPr>
          <w:p>
            <w:pPr>
              <w:spacing w:after="0"/>
              <w:rPr>
                <w:sz w:val="14"/>
                <w:szCs w:val="14"/>
                <w:color w:val="auto"/>
              </w:rPr>
            </w:pPr>
          </w:p>
        </w:tc>
        <w:tc>
          <w:tcPr>
            <w:tcW w:w="840" w:type="dxa"/>
            <w:vAlign w:val="bottom"/>
          </w:tcPr>
          <w:p>
            <w:pPr>
              <w:jc w:val="right"/>
              <w:ind w:right="40"/>
              <w:spacing w:after="0" w:line="171" w:lineRule="exact"/>
              <w:rPr>
                <w:sz w:val="20"/>
                <w:szCs w:val="20"/>
                <w:color w:val="auto"/>
              </w:rPr>
            </w:pPr>
            <w:r>
              <w:rPr>
                <w:rFonts w:ascii="Arial" w:cs="Arial" w:eastAsia="Arial" w:hAnsi="Arial"/>
                <w:sz w:val="16"/>
                <w:szCs w:val="16"/>
                <w:b w:val="1"/>
                <w:bCs w:val="1"/>
                <w:color w:val="auto"/>
              </w:rPr>
              <w:t>72</w:t>
            </w:r>
          </w:p>
        </w:tc>
        <w:tc>
          <w:tcPr>
            <w:tcW w:w="20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(72)</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9"/>
              <w:spacing w:after="0" w:line="171" w:lineRule="exact"/>
              <w:rPr>
                <w:sz w:val="20"/>
                <w:szCs w:val="20"/>
                <w:color w:val="auto"/>
              </w:rPr>
            </w:pPr>
            <w:r>
              <w:rPr>
                <w:rFonts w:ascii="Arial" w:cs="Arial" w:eastAsia="Arial" w:hAnsi="Arial"/>
                <w:sz w:val="16"/>
                <w:szCs w:val="16"/>
                <w:b w:val="1"/>
                <w:bCs w:val="1"/>
                <w:color w:val="auto"/>
              </w:rPr>
              <w:t>—</w:t>
            </w:r>
          </w:p>
        </w:tc>
      </w:tr>
      <w:tr>
        <w:trPr>
          <w:trHeight w:val="207"/>
        </w:trPr>
        <w:tc>
          <w:tcPr>
            <w:tcW w:w="3620" w:type="dxa"/>
            <w:vAlign w:val="bottom"/>
          </w:tcPr>
          <w:p>
            <w:pPr>
              <w:spacing w:after="0"/>
              <w:rPr>
                <w:sz w:val="20"/>
                <w:szCs w:val="20"/>
                <w:color w:val="auto"/>
              </w:rPr>
            </w:pPr>
            <w:r>
              <w:rPr>
                <w:rFonts w:ascii="Arial" w:cs="Arial" w:eastAsia="Arial" w:hAnsi="Arial"/>
                <w:sz w:val="16"/>
                <w:szCs w:val="16"/>
                <w:b w:val="1"/>
                <w:bCs w:val="1"/>
                <w:color w:val="auto"/>
              </w:rPr>
              <w:t>cashless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 based compensation – common stock</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65,217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65</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22,747</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22,812</w:t>
            </w:r>
          </w:p>
        </w:tc>
      </w:tr>
      <w:tr>
        <w:trPr>
          <w:trHeight w:val="189"/>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 based compensation – options</w:t>
            </w: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119,331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119,331</w:t>
            </w:r>
          </w:p>
        </w:tc>
      </w:tr>
      <w:tr>
        <w:trPr>
          <w:trHeight w:val="190"/>
        </w:trPr>
        <w:tc>
          <w:tcPr>
            <w:tcW w:w="36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31 December 2013</w:t>
            </w:r>
          </w:p>
        </w:tc>
        <w:tc>
          <w:tcPr>
            <w:tcW w:w="1280" w:type="dxa"/>
            <w:vAlign w:val="bottom"/>
            <w:tcBorders>
              <w:bottom w:val="single" w:sz="8" w:color="auto"/>
            </w:tcBorders>
            <w:shd w:val="clear" w:color="auto" w:fill="CCEEFF"/>
          </w:tcPr>
          <w:p>
            <w:pPr>
              <w:jc w:val="right"/>
              <w:ind w:right="41"/>
              <w:spacing w:after="0" w:line="183" w:lineRule="exact"/>
              <w:rPr>
                <w:sz w:val="20"/>
                <w:szCs w:val="20"/>
                <w:color w:val="auto"/>
              </w:rPr>
            </w:pPr>
            <w:r>
              <w:rPr>
                <w:rFonts w:ascii="Arial" w:cs="Arial" w:eastAsia="Arial" w:hAnsi="Arial"/>
                <w:sz w:val="16"/>
                <w:szCs w:val="16"/>
                <w:b w:val="1"/>
                <w:bCs w:val="1"/>
                <w:color w:val="auto"/>
              </w:rPr>
              <w:t>125,305,471</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40"/>
              <w:spacing w:after="0" w:line="183" w:lineRule="exact"/>
              <w:rPr>
                <w:sz w:val="20"/>
                <w:szCs w:val="20"/>
                <w:color w:val="auto"/>
              </w:rPr>
            </w:pPr>
            <w:r>
              <w:rPr>
                <w:rFonts w:ascii="Arial" w:cs="Arial" w:eastAsia="Arial" w:hAnsi="Arial"/>
                <w:sz w:val="16"/>
                <w:szCs w:val="16"/>
                <w:b w:val="1"/>
                <w:bCs w:val="1"/>
                <w:color w:val="auto"/>
              </w:rPr>
              <w:t>125,305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b w:val="1"/>
                <w:bCs w:val="1"/>
                <w:color w:val="auto"/>
              </w:rPr>
              <w:t>77,582,210</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2"/>
              <w:spacing w:after="0" w:line="183" w:lineRule="exact"/>
              <w:rPr>
                <w:sz w:val="20"/>
                <w:szCs w:val="20"/>
                <w:color w:val="auto"/>
              </w:rPr>
            </w:pPr>
            <w:r>
              <w:rPr>
                <w:rFonts w:ascii="Arial" w:cs="Arial" w:eastAsia="Arial" w:hAnsi="Arial"/>
                <w:sz w:val="16"/>
                <w:szCs w:val="16"/>
                <w:b w:val="1"/>
                <w:bCs w:val="1"/>
                <w:color w:val="auto"/>
              </w:rPr>
              <w:t>(566,310)</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b w:val="1"/>
                <w:bCs w:val="1"/>
                <w:color w:val="auto"/>
              </w:rPr>
              <w:t>(76,644,313)</w:t>
            </w:r>
          </w:p>
        </w:tc>
        <w:tc>
          <w:tcPr>
            <w:tcW w:w="28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b w:val="1"/>
                <w:bCs w:val="1"/>
                <w:color w:val="auto"/>
              </w:rPr>
              <w:t>496,892</w:t>
            </w:r>
          </w:p>
        </w:tc>
      </w:tr>
      <w:tr>
        <w:trPr>
          <w:trHeight w:val="305"/>
        </w:trPr>
        <w:tc>
          <w:tcPr>
            <w:tcW w:w="4900" w:type="dxa"/>
            <w:vAlign w:val="bottom"/>
            <w:gridSpan w:val="2"/>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8"/>
        </w:trPr>
        <w:tc>
          <w:tcPr>
            <w:tcW w:w="49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F-16</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AquaBounty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cash flows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Years ended 31 December</w:t>
            </w:r>
          </w:p>
        </w:tc>
        <w:tc>
          <w:tcPr>
            <w:tcW w:w="1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2011</w:t>
            </w:r>
          </w:p>
        </w:tc>
      </w:tr>
      <w:tr>
        <w:trPr>
          <w:trHeight w:val="196"/>
        </w:trPr>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(4,689,038)</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(4,414,613)</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(2,709,595)</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Adjustment to reconcile net loss to net cash used in operating activities:</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147,101</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225,416</w:t>
            </w:r>
          </w:p>
        </w:tc>
        <w:tc>
          <w:tcPr>
            <w:tcW w:w="38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211,684</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142,143</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324,308</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249,563</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Amortization (accretion) of discount (premium) on corporate bonds</w:t>
            </w:r>
          </w:p>
        </w:tc>
        <w:tc>
          <w:tcPr>
            <w:tcW w:w="12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(326)</w:t>
            </w:r>
          </w:p>
        </w:tc>
        <w:tc>
          <w:tcPr>
            <w:tcW w:w="38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69,948</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Loss on disposed assets</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5,776</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Gain on royalty based financing instrument</w:t>
            </w:r>
          </w:p>
        </w:tc>
        <w:tc>
          <w:tcPr>
            <w:tcW w:w="120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(186,980)</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(2,709,602)</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Other receivables</w:t>
            </w:r>
          </w:p>
        </w:tc>
        <w:tc>
          <w:tcPr>
            <w:tcW w:w="120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(57,264)</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90,907</w:t>
            </w:r>
          </w:p>
        </w:tc>
        <w:tc>
          <w:tcPr>
            <w:tcW w:w="38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(9,518)</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(94,935)</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121,481</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111,001</w:t>
            </w:r>
          </w:p>
        </w:tc>
      </w:tr>
      <w:tr>
        <w:trPr>
          <w:trHeight w:val="189"/>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Accounts payable and accrued liabilities</w:t>
            </w:r>
          </w:p>
        </w:tc>
        <w:tc>
          <w:tcPr>
            <w:tcW w:w="1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281,345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(68,404)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(164,228)</w:t>
            </w:r>
          </w:p>
        </w:tc>
      </w:tr>
      <w:tr>
        <w:trPr>
          <w:trHeight w:val="183"/>
        </w:trPr>
        <w:tc>
          <w:tcPr>
            <w:tcW w:w="6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1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(4,457,628)</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(3,715,455)</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(4,950,747)</w:t>
            </w:r>
          </w:p>
        </w:tc>
      </w:tr>
      <w:tr>
        <w:trPr>
          <w:trHeight w:val="183"/>
        </w:trPr>
        <w:tc>
          <w:tcPr>
            <w:tcW w:w="6160" w:type="dxa"/>
            <w:vAlign w:val="bottom"/>
          </w:tcPr>
          <w:p>
            <w:pPr>
              <w:spacing w:after="0" w:line="183" w:lineRule="exact"/>
              <w:rPr>
                <w:sz w:val="20"/>
                <w:szCs w:val="20"/>
                <w:color w:val="auto"/>
              </w:rPr>
            </w:pPr>
            <w:r>
              <w:rPr>
                <w:rFonts w:ascii="Arial" w:cs="Arial" w:eastAsia="Arial" w:hAnsi="Arial"/>
                <w:sz w:val="16"/>
                <w:szCs w:val="16"/>
                <w:b w:val="1"/>
                <w:bCs w:val="1"/>
                <w:color w:val="auto"/>
              </w:rPr>
              <w:t>INVESTING ACTIVITIES</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Purchases of equipment</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(99,500)</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(52,841)</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(68,615)</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12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(1,545,980)</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5,078,266</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Paid out (reinvested) interest on certificate of deposit</w:t>
            </w:r>
          </w:p>
        </w:tc>
        <w:tc>
          <w:tcPr>
            <w:tcW w:w="120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(6)</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w:t>
            </w:r>
          </w:p>
        </w:tc>
      </w:tr>
      <w:tr>
        <w:trPr>
          <w:trHeight w:val="189"/>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Payment of patent costs</w:t>
            </w:r>
          </w:p>
        </w:tc>
        <w:tc>
          <w:tcPr>
            <w:tcW w:w="1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(42,249)</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(69,210)</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(14,173)</w:t>
            </w:r>
          </w:p>
        </w:tc>
      </w:tr>
      <w:tr>
        <w:trPr>
          <w:trHeight w:val="183"/>
        </w:trPr>
        <w:tc>
          <w:tcPr>
            <w:tcW w:w="6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(141,755)</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(122,045)</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3,449,482</w:t>
            </w:r>
          </w:p>
        </w:tc>
      </w:tr>
      <w:tr>
        <w:trPr>
          <w:trHeight w:val="183"/>
        </w:trPr>
        <w:tc>
          <w:tcPr>
            <w:tcW w:w="61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FINANCING ACTIVITIES</w:t>
            </w: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Proceeds from issuance of bridge loan</w:t>
            </w:r>
          </w:p>
        </w:tc>
        <w:tc>
          <w:tcPr>
            <w:tcW w:w="12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300,000</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200,000</w:t>
            </w:r>
          </w:p>
        </w:tc>
        <w:tc>
          <w:tcPr>
            <w:tcW w:w="38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Repayment of bridge loan</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(500,000)</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Proceeds from issuance of long-term debt</w:t>
            </w:r>
          </w:p>
        </w:tc>
        <w:tc>
          <w:tcPr>
            <w:tcW w:w="12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665,199</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678,657</w:t>
            </w:r>
          </w:p>
        </w:tc>
        <w:tc>
          <w:tcPr>
            <w:tcW w:w="38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613,723</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Repayment of other term debt</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(68,327)</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(68,575)</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(66,479)</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Proceeds from issuance of common stock, net</w:t>
            </w:r>
          </w:p>
        </w:tc>
        <w:tc>
          <w:tcPr>
            <w:tcW w:w="12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5,725,607</w:t>
            </w:r>
          </w:p>
        </w:tc>
        <w:tc>
          <w:tcPr>
            <w:tcW w:w="3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1,742,478</w:t>
            </w:r>
          </w:p>
        </w:tc>
        <w:tc>
          <w:tcPr>
            <w:tcW w:w="38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4,000</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3,873</w:t>
            </w:r>
          </w:p>
        </w:tc>
      </w:tr>
      <w:tr>
        <w:trPr>
          <w:trHeight w:val="183"/>
        </w:trPr>
        <w:tc>
          <w:tcPr>
            <w:tcW w:w="6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6,126,479</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2,552,560</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551,117</w:t>
            </w:r>
          </w:p>
        </w:tc>
      </w:tr>
      <w:tr>
        <w:trPr>
          <w:trHeight w:val="183"/>
        </w:trPr>
        <w:tc>
          <w:tcPr>
            <w:tcW w:w="6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59"/>
              <w:spacing w:after="0" w:line="183" w:lineRule="exact"/>
              <w:rPr>
                <w:sz w:val="20"/>
                <w:szCs w:val="20"/>
                <w:color w:val="auto"/>
              </w:rPr>
            </w:pPr>
            <w:r>
              <w:rPr>
                <w:rFonts w:ascii="Arial" w:cs="Arial" w:eastAsia="Arial" w:hAnsi="Arial"/>
                <w:sz w:val="16"/>
                <w:szCs w:val="16"/>
                <w:b w:val="1"/>
                <w:bCs w:val="1"/>
                <w:color w:val="auto"/>
              </w:rPr>
              <w:t>132</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59"/>
              <w:spacing w:after="0" w:line="183" w:lineRule="exact"/>
              <w:rPr>
                <w:sz w:val="20"/>
                <w:szCs w:val="20"/>
                <w:color w:val="auto"/>
              </w:rPr>
            </w:pPr>
            <w:r>
              <w:rPr>
                <w:rFonts w:ascii="Arial" w:cs="Arial" w:eastAsia="Arial" w:hAnsi="Arial"/>
                <w:sz w:val="16"/>
                <w:szCs w:val="16"/>
                <w:color w:val="auto"/>
              </w:rPr>
              <w:t>2,481</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rPr>
              <w:t>3,939</w:t>
            </w:r>
          </w:p>
        </w:tc>
      </w:tr>
      <w:tr>
        <w:trPr>
          <w:trHeight w:val="183"/>
        </w:trPr>
        <w:tc>
          <w:tcPr>
            <w:tcW w:w="6160" w:type="dxa"/>
            <w:vAlign w:val="bottom"/>
          </w:tcPr>
          <w:p>
            <w:pPr>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1200" w:type="dxa"/>
            <w:vAlign w:val="bottom"/>
          </w:tcPr>
          <w:p>
            <w:pPr>
              <w:spacing w:after="0"/>
              <w:rPr>
                <w:sz w:val="15"/>
                <w:szCs w:val="15"/>
                <w:color w:val="auto"/>
              </w:rPr>
            </w:pPr>
          </w:p>
        </w:tc>
        <w:tc>
          <w:tcPr>
            <w:tcW w:w="1100" w:type="dxa"/>
            <w:vAlign w:val="bottom"/>
          </w:tcPr>
          <w:p>
            <w:pPr>
              <w:jc w:val="right"/>
              <w:ind w:right="159"/>
              <w:spacing w:after="0" w:line="183" w:lineRule="exact"/>
              <w:rPr>
                <w:sz w:val="20"/>
                <w:szCs w:val="20"/>
                <w:color w:val="auto"/>
              </w:rPr>
            </w:pPr>
            <w:r>
              <w:rPr>
                <w:rFonts w:ascii="Arial" w:cs="Arial" w:eastAsia="Arial" w:hAnsi="Arial"/>
                <w:sz w:val="16"/>
                <w:szCs w:val="16"/>
                <w:b w:val="1"/>
                <w:bCs w:val="1"/>
                <w:color w:val="auto"/>
              </w:rPr>
              <w:t>1,527,228</w:t>
            </w:r>
          </w:p>
        </w:tc>
        <w:tc>
          <w:tcPr>
            <w:tcW w:w="380" w:type="dxa"/>
            <w:vAlign w:val="bottom"/>
          </w:tcPr>
          <w:p>
            <w:pPr>
              <w:spacing w:after="0"/>
              <w:rPr>
                <w:sz w:val="15"/>
                <w:szCs w:val="15"/>
                <w:color w:val="auto"/>
              </w:rPr>
            </w:pPr>
          </w:p>
        </w:tc>
        <w:tc>
          <w:tcPr>
            <w:tcW w:w="11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(1,282,459)</w:t>
            </w:r>
          </w:p>
        </w:tc>
        <w:tc>
          <w:tcPr>
            <w:tcW w:w="380" w:type="dxa"/>
            <w:vAlign w:val="bottom"/>
          </w:tcPr>
          <w:p>
            <w:pPr>
              <w:spacing w:after="0"/>
              <w:rPr>
                <w:sz w:val="15"/>
                <w:szCs w:val="15"/>
                <w:color w:val="auto"/>
              </w:rPr>
            </w:pPr>
          </w:p>
        </w:tc>
        <w:tc>
          <w:tcPr>
            <w:tcW w:w="1100" w:type="dxa"/>
            <w:vAlign w:val="bottom"/>
          </w:tcPr>
          <w:p>
            <w:pPr>
              <w:jc w:val="right"/>
              <w:ind w:right="79"/>
              <w:spacing w:after="0" w:line="183" w:lineRule="exact"/>
              <w:rPr>
                <w:sz w:val="20"/>
                <w:szCs w:val="20"/>
                <w:color w:val="auto"/>
              </w:rPr>
            </w:pPr>
            <w:r>
              <w:rPr>
                <w:rFonts w:ascii="Arial" w:cs="Arial" w:eastAsia="Arial" w:hAnsi="Arial"/>
                <w:sz w:val="16"/>
                <w:szCs w:val="16"/>
                <w:color w:val="auto"/>
              </w:rPr>
              <w:t>(946,209)</w:t>
            </w:r>
          </w:p>
        </w:tc>
      </w:tr>
      <w:tr>
        <w:trPr>
          <w:trHeight w:val="189"/>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348,521</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1,630,980</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2,577,189</w:t>
            </w:r>
          </w:p>
        </w:tc>
      </w:tr>
      <w:tr>
        <w:trPr>
          <w:trHeight w:val="190"/>
        </w:trPr>
        <w:tc>
          <w:tcPr>
            <w:tcW w:w="6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Cash and cash equivalents at end of year</w:t>
            </w:r>
          </w:p>
        </w:tc>
        <w:tc>
          <w:tcPr>
            <w:tcW w:w="1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1,875,749</w:t>
            </w:r>
          </w:p>
        </w:tc>
        <w:tc>
          <w:tcPr>
            <w:tcW w:w="3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348,521</w:t>
            </w:r>
          </w:p>
        </w:tc>
        <w:tc>
          <w:tcPr>
            <w:tcW w:w="3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1,630,980</w:t>
            </w: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paid in cash</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4,223</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4,414</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7,115</w:t>
            </w:r>
          </w:p>
        </w:tc>
      </w:tr>
      <w:tr>
        <w:trPr>
          <w:trHeight w:val="305"/>
        </w:trPr>
        <w:tc>
          <w:tcPr>
            <w:tcW w:w="6160" w:type="dxa"/>
            <w:vAlign w:val="bottom"/>
          </w:tcPr>
          <w:p>
            <w:pPr>
              <w:spacing w:after="0"/>
              <w:rPr>
                <w:sz w:val="20"/>
                <w:szCs w:val="20"/>
                <w:color w:val="auto"/>
              </w:rPr>
            </w:pPr>
            <w:r>
              <w:rPr>
                <w:rFonts w:ascii="Arial" w:cs="Arial" w:eastAsia="Arial" w:hAnsi="Arial"/>
                <w:sz w:val="16"/>
                <w:szCs w:val="16"/>
                <w:color w:val="auto"/>
              </w:rPr>
              <w:t>See accompanying notes to the consolidated financial statements.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8"/>
        </w:trPr>
        <w:tc>
          <w:tcPr>
            <w:tcW w:w="616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F-17</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31 December 2013, 2012 and 2011</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 and organization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Nature of business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AquaBounty Technologies, Inc. (the “Parent”) was incorporated in December 1991 in the State of Delaware for the purpose of conducting research and development of the commercial viability of a group of proteins commonly known as antifreeze proteins (AFPs). In 1996, the Parent obtained the exclusive licensing rights for a gene construct (transgene) used to create a breed of farm-raised Atlantic salmon that exhibit growth rates that are substantially faster than traditional salmon.</w:t>
      </w:r>
    </w:p>
    <w:p>
      <w:pPr>
        <w:spacing w:after="0" w:line="9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Prior to 2006, the Company considered itself a development stage entity. The Company commenced sales of its first product in 2004 and expanded the markets to which that product had been sold. In addition, upon listing on the AIM in 2006, management no longer devoted most of its activities and resources toward raising capital. As a result, in 2006 the Company determined that it was no longer a development stage entity.</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AquaBounty Canada, Inc. (the “Canadian Subsidiary”) was incorporated in January 1994 in Canada for the purpose of establishing a commercial biotechnology laboratory to produce antifreeze proteins and to conduct research and development programs related to the commercialization of cryopreservatives and the antifreeze gene construct.</w:t>
      </w:r>
    </w:p>
    <w:p>
      <w:pPr>
        <w:spacing w:after="0" w:line="93" w:lineRule="exact"/>
        <w:rPr>
          <w:sz w:val="20"/>
          <w:szCs w:val="20"/>
          <w:color w:val="auto"/>
        </w:rPr>
      </w:pPr>
    </w:p>
    <w:p>
      <w:pPr>
        <w:ind w:right="260"/>
        <w:spacing w:after="0" w:line="235" w:lineRule="auto"/>
        <w:rPr>
          <w:sz w:val="20"/>
          <w:szCs w:val="20"/>
          <w:color w:val="auto"/>
        </w:rPr>
      </w:pPr>
      <w:r>
        <w:rPr>
          <w:rFonts w:ascii="Arial" w:cs="Arial" w:eastAsia="Arial" w:hAnsi="Arial"/>
          <w:sz w:val="16"/>
          <w:szCs w:val="16"/>
          <w:color w:val="auto"/>
        </w:rPr>
        <w:t>AquaBounty Panama, S. de R.L. (the “Panama Subsidiary”) was incorporated in May 2008 in Panama for the purpose of conducting commercial trials of the Company’s AquAdvantage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Salmon.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consolidated financial statements include the accounts of AquaBounty Technologies, Inc. and its wholly owned subsidiaries, AquaBounty Canada, Inc. and AquaBounty Panama, S. de R.L. The entities are collectively referred to herein as the “Company.” All inter-company transactions and balances have been eliminated upon consolidation.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25"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In March 2012, the Company undertook a restructuring to reduce operating spend by approximately 30% per annum. Included in the restructuring was the spin-out and sale of the Company’s research and development division for $1 to Tethys Ocean, B.V., at the time the Company’s largest shareholder. The Company recorded a $93,780 restructuring charge in 2012, including a $5,776 loss on disposed assets. In connection with the restructuring, the Company entered into a contract research agreement with the new organization, Tethys Aquaculture Canada Inc. (Note 13).</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Management’s Plan</w:t>
      </w:r>
    </w:p>
    <w:p>
      <w:pPr>
        <w:spacing w:after="0" w:line="25"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The Company has recurring net losses and has relied on its fundraising efforts to finance its operations and will continue to do so until such time that the Company is able to achieve positive cash flows from operations. In March 2014, the Company closed on a fundraising resulting in net proceeds to the Company of approximately $9.7 million (see Note 15).</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5"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displays comprehensive loss and its components as part of its consolidated financial statements. Comprehensive loss consists of net loss and other comprehensive income (loss). Other comprehensive income (loss) includes foreign currency translation adjustments.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F-18</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25"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functional currency of the Parent is the US Dollar. The functional currency of the Canadian Subsidiary is the Canadian Dollar (C$) and the functional currency of the Panama Subsidiary is the US Dollar. For the Canadian Subsidiary, assets and liabilities are translated at the exchange rates in effect at the balance sheet date, equity accounts are translated at the historical exchange rate and the income statement accounts are translated at the average rate for each period during the year. Net translation gains or losses are adjusted directly to a separate component of other comprehensive income (loss) within stockholders’ equity (deficit).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equivalents</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Company considers all highly liquid investments with maturities of three months or less when purchased to be cash equivalents. Cash equivalents consist primarily of money market funds, corporate obligations and US government agency obligations.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Certificate of deposit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one-year certificate of deposit at December 31, 2013 and 2012 that currently bears interest at 0.8%. It is renewable annually in January.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assistance</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From time to time the Company receives government assistance in the form of research grants, which are recorded as a reduction of the related expenditures. During the year, an amount of $175,665 (2012: $118,657; 2011: $52,861) was recorded as a reduction of expenditures. Included in other receivables at December 31, 2013 is $5,914 (2012: $11,193) of amounts due under research grants. All government assistance is subject to periodic audit by the agency involved in the grant.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Definite lived intangible assets include patents and licenses. Patent costs consist primarily of legal and filing fees incurred to file patents on proprietary technology developed by the Company. Patent costs are amortized on a straight-line basis over 20 years beginning with the issue date of the applicable patent. Licensing fees are capitalized and expensed over the term of the licensing agreement.</w:t>
      </w:r>
    </w:p>
    <w:p>
      <w:pPr>
        <w:spacing w:after="0" w:line="93" w:lineRule="exact"/>
        <w:rPr>
          <w:sz w:val="20"/>
          <w:szCs w:val="20"/>
          <w:color w:val="auto"/>
        </w:rPr>
      </w:pPr>
    </w:p>
    <w:p>
      <w:pPr>
        <w:ind w:right="2100"/>
        <w:spacing w:after="0" w:line="317" w:lineRule="auto"/>
        <w:rPr>
          <w:sz w:val="20"/>
          <w:szCs w:val="20"/>
          <w:color w:val="auto"/>
        </w:rPr>
      </w:pPr>
      <w:r>
        <w:rPr>
          <w:rFonts w:ascii="Arial" w:cs="Arial" w:eastAsia="Arial" w:hAnsi="Arial"/>
          <w:sz w:val="16"/>
          <w:szCs w:val="16"/>
          <w:color w:val="auto"/>
        </w:rPr>
        <w:t xml:space="preserve">Indefinite lived intangible assets include trademark costs, which are capitalized with no amortization as they have an indefinite life. </w:t>
      </w:r>
      <w:r>
        <w:rPr>
          <w:rFonts w:ascii="Arial" w:cs="Arial" w:eastAsia="Arial" w:hAnsi="Arial"/>
          <w:sz w:val="16"/>
          <w:szCs w:val="16"/>
          <w:b w:val="1"/>
          <w:bCs w:val="1"/>
          <w:i w:val="1"/>
          <w:iCs w:val="1"/>
          <w:color w:val="auto"/>
        </w:rPr>
        <w:t>Property, plant and equipment</w:t>
      </w:r>
    </w:p>
    <w:p>
      <w:pPr>
        <w:ind w:right="140"/>
        <w:spacing w:after="0" w:line="260" w:lineRule="auto"/>
        <w:rPr>
          <w:sz w:val="20"/>
          <w:szCs w:val="20"/>
          <w:color w:val="auto"/>
        </w:rPr>
      </w:pPr>
      <w:r>
        <w:rPr>
          <w:rFonts w:ascii="Arial" w:cs="Arial" w:eastAsia="Arial" w:hAnsi="Arial"/>
          <w:sz w:val="16"/>
          <w:szCs w:val="16"/>
          <w:color w:val="auto"/>
        </w:rPr>
        <w:t>Property, plant and equipment are carried at cost, except for those owned by the Canadian Subsidiary which records such assets net of any related Canadian government grants received. The Company depreciates all asset classes over their estimated useful lives.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Building</w:t>
            </w:r>
          </w:p>
        </w:tc>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25 years</w:t>
            </w: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Equipment</w:t>
            </w:r>
          </w:p>
        </w:tc>
        <w:tc>
          <w:tcPr>
            <w:tcW w:w="8760" w:type="dxa"/>
            <w:vAlign w:val="bottom"/>
          </w:tcPr>
          <w:p>
            <w:pPr>
              <w:ind w:left="480"/>
              <w:spacing w:after="0"/>
              <w:rPr>
                <w:sz w:val="20"/>
                <w:szCs w:val="20"/>
                <w:color w:val="auto"/>
              </w:rPr>
            </w:pPr>
            <w:r>
              <w:rPr>
                <w:rFonts w:ascii="Arial" w:cs="Arial" w:eastAsia="Arial" w:hAnsi="Arial"/>
                <w:sz w:val="16"/>
                <w:szCs w:val="16"/>
                <w:color w:val="auto"/>
              </w:rPr>
              <w:t>7–10 years</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3 years</w:t>
            </w: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8760" w:type="dxa"/>
            <w:vAlign w:val="bottom"/>
          </w:tcPr>
          <w:p>
            <w:pPr>
              <w:ind w:left="480"/>
              <w:spacing w:after="0"/>
              <w:rPr>
                <w:sz w:val="20"/>
                <w:szCs w:val="20"/>
                <w:color w:val="auto"/>
              </w:rPr>
            </w:pPr>
            <w:r>
              <w:rPr>
                <w:rFonts w:ascii="Arial" w:cs="Arial" w:eastAsia="Arial" w:hAnsi="Arial"/>
                <w:sz w:val="16"/>
                <w:szCs w:val="16"/>
                <w:color w:val="auto"/>
              </w:rPr>
              <w:t>shorter of asset life or lease term</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3 years</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Company reviews the carrying value of its long-lived tangible assets and definite lived intangible assets on an annual basis or more frequently if facts and circumstances suggest that they may be impaired. The carrying values of such assets are considered impaired when the anticipated identifiable undiscounted cash flows from such assets are less than their carrying values. An impairment loss, if any, is recognized in the amount of the difference between the carrying amount and fair value.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Indefinite lived intangible assets are subject to impairment testing annually or more frequently if impairment indicators arise. The Company’s impairment testing utilizes a discounted cash flow analysis that requires significant management judgment with respect to revenue and expense growth rates, changes in working capital and the selection and use of the appropriate discount rate. An impairment loss, if any, is recognized in the amount of the difference between the carrying amount and fair value.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recorded for the expected future tax consequences of temporary differences between the financial reporting and income tax bases of assets and liabilities and are measured using the enacted tax rates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F-19</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and laws that are expected to be in effect when the differences reverse. A valuation allowance is established to reduce net deferred tax assets to the amount expected to be realized. The Company follows accounting guidance regarding the recognition, measurement, presentation and disclosure of uncertain tax positions in the financial statements. Tax positions taken or expected to be taken in the course of preparing the Company’s tax returns are required to</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be evaluated to determine whether the tax positions are “more-likely-than-not” to be upheld under regulatory review. The resulting tax impact of these tax positions are recognized in the financial statements based on the results of this evaluation. The Company did not recognize any tax liabilities associated with uncertain tax positions, nor has it recognized any interest or penalties related to unrecognized tax positions. Generally, the Company is no longer subject to federal and state tax examinations by tax authorities for years before 2010.</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Royalty based financing instruments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From time to time the Company will enter into financing arrangements whereby the funds received will be repaid through future royalties from revenues at agreed upon royalty rates. Amounts to be paid may be in excess of amounts borrowed. Additionally, in certain instances the repayment terms have expiration dates. The Company records outstanding borrowings under these arrangements as long-term debt liabilities and adjusts the balance based on the likelihood of future repayment, taking into consideration the terms of the individual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Basic and diluted net loss per share available to common stockholders has been calculated by dividing net loss by the weighted average number of common shares outstanding during the year. Basic net loss is based solely on the number of common shares outstanding during the year. Fully diluted net loss per share includes the number of shares of common stock issuable upon the exercise of warrants and options with an exercise price less than the fair value of the common stock. Since the Company is reporting a net loss for all periods presented, all potential common shares are considered anti-dilutive and are excluded from the calculation of diluted net loss per share.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measures and recognizes all share-based payment awards, including stock options made to employees and Directors, based on estimated fair values. The fair value of share-based payment awards are estimated on the date of grant using an option-pricing model. The value of the portion of the award that is ultimately expected to vest is recognized as an expense over the requisite service period in the Company’s consolidated statement of operations. The Company uses the Black-Scholes option-pricing model (“Black-Scholes”) as its method of valuation. Non-employee stock-based compensation is accounted for using the Black-Scholes to determine the fair value of warrants or options awarded to non-employees with the fair value of such issuances expensed over the period of service.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Risks and uncertainties</w:t>
      </w:r>
    </w:p>
    <w:p>
      <w:pPr>
        <w:spacing w:after="0" w:line="13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Company is subject to risks and uncertainties common in the biotechnology and aquaculture industries. Such risks and uncertainties include, but are not limited to: (i) results from current and planned product development studies and trials; (ii) decisions made by the FDA or similar regulatory bodies in other countries with respect to approval and commercial sale of any of the Company’s proposed products; (iii) the commercial acceptance of any products approved for sale and the Company’s ability to manufacture, distribute and sell for a profit any products approved for sale; (iv) the Company’s ability to obtain the necessary patents and proprietary rights to effectively protect its technologies; and (v) the outcome of any collaborations or alliances entered into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Financial instruments which potentially subject the Company to credit risk consist principally of cash equivalents and marketable securities. This risk is minimized by the Company’s policy of investing in financial instruments with short-term maturities issued by highly rated financial institutions. The Company’s cash balances may at times exceed insurance limitations.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instruments</w:t>
      </w:r>
    </w:p>
    <w:p>
      <w:pPr>
        <w:spacing w:after="0" w:line="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carrying amounts reported in the consolidated balance sheets for other receivables and accounts payable approximate fair value based on the short-term maturity of these instruments. The carrying value of debt approximates its fair value since it provides for market terms and interest rates other than as disclosed in Note 8 related to royalty-based financing instruments. These royalty based financing instruments are adjusted at each reporting period to the amounts the Company expects to repay.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F-20</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Company groups its financial instruments measured at fair value, if any, in three levels, based on markets in which the instruments are traded and the reliability of the assumptions used to determine fair value. Fair value is defined as the price that would be received to sell an asset or paid to transfer a liability in an orderly transaction between market participants at the measurement date (an exit price).</w:t>
      </w:r>
    </w:p>
    <w:p>
      <w:pPr>
        <w:spacing w:after="0" w:line="9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Financial instruments with readily available quoted prices or for which fair value can be measured from actively quoted prices generally will have a higher degree of market price observability and a lesser degree of judgment used in measuring fair value. The three levels of the fair value hierarchy are as follows:</w:t>
      </w:r>
    </w:p>
    <w:p>
      <w:pPr>
        <w:spacing w:after="0" w:line="8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Level 1: 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spacing w:after="0" w:line="8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93"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9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certain cases, the input used to measure fair value may fall into different levels of the fair value hierarchy. In such cases, an instrument’s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Property, plant and equipment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Major classifications of property, plant and equipment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2012</w:t>
            </w:r>
          </w:p>
        </w:tc>
      </w:tr>
      <w:tr>
        <w:trPr>
          <w:trHeight w:val="183"/>
        </w:trPr>
        <w:tc>
          <w:tcPr>
            <w:tcW w:w="6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w:t>
            </w:r>
          </w:p>
        </w:tc>
        <w:tc>
          <w:tcPr>
            <w:tcW w:w="2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00"/>
              <w:spacing w:after="0" w:line="183" w:lineRule="exact"/>
              <w:rPr>
                <w:sz w:val="20"/>
                <w:szCs w:val="20"/>
                <w:color w:val="auto"/>
              </w:rPr>
            </w:pPr>
            <w:r>
              <w:rPr>
                <w:rFonts w:ascii="Arial" w:cs="Arial" w:eastAsia="Arial" w:hAnsi="Arial"/>
                <w:sz w:val="16"/>
                <w:szCs w:val="16"/>
                <w:b w:val="1"/>
                <w:bCs w:val="1"/>
                <w:color w:val="auto"/>
              </w:rPr>
              <w:t>94,875</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101,796</w:t>
            </w: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Building and improvements</w:t>
            </w:r>
          </w:p>
        </w:tc>
        <w:tc>
          <w:tcPr>
            <w:tcW w:w="268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1,471,883</w:t>
            </w:r>
          </w:p>
        </w:tc>
        <w:tc>
          <w:tcPr>
            <w:tcW w:w="360" w:type="dxa"/>
            <w:vAlign w:val="bottom"/>
          </w:tcPr>
          <w:p>
            <w:pPr>
              <w:spacing w:after="0"/>
              <w:rPr>
                <w:sz w:val="16"/>
                <w:szCs w:val="16"/>
                <w:color w:val="auto"/>
              </w:rPr>
            </w:pP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1,579,255</w:t>
            </w: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Equipment</w:t>
            </w:r>
          </w:p>
        </w:tc>
        <w:tc>
          <w:tcPr>
            <w:tcW w:w="2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615,362</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566,014</w:t>
            </w: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2680" w:type="dxa"/>
            <w:vAlign w:val="bottom"/>
          </w:tcPr>
          <w:p>
            <w:pPr>
              <w:spacing w:after="0"/>
              <w:rPr>
                <w:sz w:val="16"/>
                <w:szCs w:val="16"/>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27,613</w:t>
            </w:r>
          </w:p>
        </w:tc>
        <w:tc>
          <w:tcPr>
            <w:tcW w:w="360" w:type="dxa"/>
            <w:vAlign w:val="bottom"/>
          </w:tcPr>
          <w:p>
            <w:pPr>
              <w:spacing w:after="0"/>
              <w:rPr>
                <w:sz w:val="16"/>
                <w:szCs w:val="16"/>
                <w:color w:val="auto"/>
              </w:rPr>
            </w:pP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32,689</w:t>
            </w: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6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23,626</w:t>
            </w:r>
          </w:p>
        </w:tc>
      </w:tr>
      <w:tr>
        <w:trPr>
          <w:trHeight w:val="189"/>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Vehicles</w:t>
            </w:r>
          </w:p>
        </w:tc>
        <w:tc>
          <w:tcPr>
            <w:tcW w:w="2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13,451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28,459</w:t>
            </w:r>
          </w:p>
        </w:tc>
      </w:tr>
      <w:tr>
        <w:trPr>
          <w:trHeight w:val="183"/>
        </w:trPr>
        <w:tc>
          <w:tcPr>
            <w:tcW w:w="6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property and equipment</w:t>
            </w:r>
          </w:p>
        </w:tc>
        <w:tc>
          <w:tcPr>
            <w:tcW w:w="26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0"/>
              <w:spacing w:after="0" w:line="183" w:lineRule="exact"/>
              <w:rPr>
                <w:sz w:val="20"/>
                <w:szCs w:val="20"/>
                <w:color w:val="auto"/>
              </w:rPr>
            </w:pPr>
            <w:r>
              <w:rPr>
                <w:rFonts w:ascii="Arial" w:cs="Arial" w:eastAsia="Arial" w:hAnsi="Arial"/>
                <w:sz w:val="16"/>
                <w:szCs w:val="16"/>
                <w:b w:val="1"/>
                <w:bCs w:val="1"/>
                <w:color w:val="auto"/>
              </w:rPr>
              <w:t>2,223,184</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2,331,839</w:t>
            </w:r>
          </w:p>
        </w:tc>
      </w:tr>
      <w:tr>
        <w:trPr>
          <w:trHeight w:val="189"/>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depreciation and amortization</w:t>
            </w:r>
          </w:p>
        </w:tc>
        <w:tc>
          <w:tcPr>
            <w:tcW w:w="2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(1,206,341)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(1,200,625)</w:t>
            </w:r>
          </w:p>
        </w:tc>
      </w:tr>
      <w:tr>
        <w:trPr>
          <w:trHeight w:val="190"/>
        </w:trPr>
        <w:tc>
          <w:tcPr>
            <w:tcW w:w="6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Property, plant and equipment</w:t>
            </w:r>
          </w:p>
        </w:tc>
        <w:tc>
          <w:tcPr>
            <w:tcW w:w="2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200"/>
              <w:spacing w:after="0" w:line="183" w:lineRule="exact"/>
              <w:rPr>
                <w:sz w:val="20"/>
                <w:szCs w:val="20"/>
                <w:color w:val="auto"/>
              </w:rPr>
            </w:pPr>
            <w:r>
              <w:rPr>
                <w:rFonts w:ascii="Arial" w:cs="Arial" w:eastAsia="Arial" w:hAnsi="Arial"/>
                <w:sz w:val="16"/>
                <w:szCs w:val="16"/>
                <w:b w:val="1"/>
                <w:bCs w:val="1"/>
                <w:color w:val="auto"/>
              </w:rPr>
              <w:t>1,016,843</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1,131,214</w:t>
            </w:r>
          </w:p>
        </w:tc>
      </w:tr>
    </w:tbl>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During 2013, the Company retired $41,856 of fully depreciated property and equipment in Panama that was turned over to the landowner at the expiration of the initial site lease. Depreciation and amortization expense for 2013 on property, plant and equipment was $144,126 (2012: $189,900; 2011: $176,168).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F-21</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Definite lived intangible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definite lived intangible assets at 31 December 2013 and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r>
      <w:tr>
        <w:trPr>
          <w:trHeight w:val="183"/>
        </w:trPr>
        <w:tc>
          <w:tcPr>
            <w:tcW w:w="57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Patents, gross</w:t>
            </w:r>
          </w:p>
        </w:tc>
        <w:tc>
          <w:tcPr>
            <w:tcW w:w="4260" w:type="dxa"/>
            <w:vAlign w:val="bottom"/>
            <w:shd w:val="clear" w:color="auto" w:fill="CCEEFF"/>
          </w:tcPr>
          <w:p>
            <w:pPr>
              <w:jc w:val="right"/>
              <w:ind w:right="200"/>
              <w:spacing w:after="0" w:line="183" w:lineRule="exact"/>
              <w:rPr>
                <w:sz w:val="20"/>
                <w:szCs w:val="20"/>
                <w:color w:val="auto"/>
              </w:rPr>
            </w:pPr>
            <w:r>
              <w:rPr>
                <w:rFonts w:ascii="Arial" w:cs="Arial" w:eastAsia="Arial" w:hAnsi="Arial"/>
                <w:sz w:val="16"/>
                <w:szCs w:val="16"/>
                <w:b w:val="1"/>
                <w:bCs w:val="1"/>
                <w:color w:val="auto"/>
              </w:rPr>
              <w:t>$ 145,993</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413,427</w:t>
            </w:r>
          </w:p>
        </w:tc>
      </w:tr>
      <w:tr>
        <w:trPr>
          <w:trHeight w:val="189"/>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amortization</w:t>
            </w:r>
          </w:p>
        </w:tc>
        <w:tc>
          <w:tcPr>
            <w:tcW w:w="4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(4,214)</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(310,923)</w:t>
            </w:r>
          </w:p>
        </w:tc>
      </w:tr>
      <w:tr>
        <w:trPr>
          <w:trHeight w:val="183"/>
        </w:trPr>
        <w:tc>
          <w:tcPr>
            <w:tcW w:w="5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Patents, net</w:t>
            </w:r>
          </w:p>
        </w:tc>
        <w:tc>
          <w:tcPr>
            <w:tcW w:w="4260" w:type="dxa"/>
            <w:vAlign w:val="bottom"/>
            <w:tcBorders>
              <w:bottom w:val="single" w:sz="8" w:color="auto"/>
            </w:tcBorders>
            <w:shd w:val="clear" w:color="auto" w:fill="CCEEFF"/>
          </w:tcPr>
          <w:p>
            <w:pPr>
              <w:jc w:val="right"/>
              <w:ind w:right="200"/>
              <w:spacing w:after="0" w:line="183" w:lineRule="exact"/>
              <w:rPr>
                <w:sz w:val="20"/>
                <w:szCs w:val="20"/>
                <w:color w:val="auto"/>
              </w:rPr>
            </w:pPr>
            <w:r>
              <w:rPr>
                <w:rFonts w:ascii="Arial" w:cs="Arial" w:eastAsia="Arial" w:hAnsi="Arial"/>
                <w:sz w:val="16"/>
                <w:szCs w:val="16"/>
                <w:b w:val="1"/>
                <w:bCs w:val="1"/>
                <w:color w:val="auto"/>
              </w:rPr>
              <w:t>141,779</w:t>
            </w: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102,504</w:t>
            </w: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6"/>
                <w:szCs w:val="16"/>
                <w:color w:val="auto"/>
              </w:rPr>
              <w:t>Licenses, gross</w:t>
            </w:r>
          </w:p>
        </w:tc>
        <w:tc>
          <w:tcPr>
            <w:tcW w:w="4260" w:type="dxa"/>
            <w:vAlign w:val="bottom"/>
          </w:tcPr>
          <w:p>
            <w:pPr>
              <w:jc w:val="right"/>
              <w:ind w:right="200"/>
              <w:spacing w:after="0" w:line="183" w:lineRule="exact"/>
              <w:rPr>
                <w:sz w:val="20"/>
                <w:szCs w:val="20"/>
                <w:color w:val="auto"/>
              </w:rPr>
            </w:pPr>
            <w:r>
              <w:rPr>
                <w:rFonts w:ascii="Arial" w:cs="Arial" w:eastAsia="Arial" w:hAnsi="Arial"/>
                <w:sz w:val="16"/>
                <w:szCs w:val="16"/>
                <w:b w:val="1"/>
                <w:bCs w:val="1"/>
                <w:color w:val="auto"/>
              </w:rPr>
              <w:t>30,000</w:t>
            </w:r>
          </w:p>
        </w:tc>
        <w:tc>
          <w:tcPr>
            <w:tcW w:w="420" w:type="dxa"/>
            <w:vAlign w:val="bottom"/>
          </w:tcPr>
          <w:p>
            <w:pPr>
              <w:spacing w:after="0"/>
              <w:rPr>
                <w:sz w:val="15"/>
                <w:szCs w:val="15"/>
                <w:color w:val="auto"/>
              </w:rPr>
            </w:pPr>
          </w:p>
        </w:tc>
        <w:tc>
          <w:tcPr>
            <w:tcW w:w="96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30,000</w:t>
            </w:r>
          </w:p>
        </w:tc>
      </w:tr>
      <w:tr>
        <w:trPr>
          <w:trHeight w:val="189"/>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accumulated amortization</w:t>
            </w:r>
          </w:p>
        </w:tc>
        <w:tc>
          <w:tcPr>
            <w:tcW w:w="42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(30,000)</w:t>
            </w: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w:t>
            </w:r>
          </w:p>
        </w:tc>
      </w:tr>
      <w:tr>
        <w:trPr>
          <w:trHeight w:val="183"/>
        </w:trPr>
        <w:tc>
          <w:tcPr>
            <w:tcW w:w="5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Licenses, net</w:t>
            </w:r>
          </w:p>
        </w:tc>
        <w:tc>
          <w:tcPr>
            <w:tcW w:w="4260" w:type="dxa"/>
            <w:vAlign w:val="bottom"/>
            <w:tcBorders>
              <w:bottom w:val="single" w:sz="8" w:color="auto"/>
            </w:tcBorders>
          </w:tcPr>
          <w:p>
            <w:pPr>
              <w:jc w:val="right"/>
              <w:ind w:right="200"/>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w:t>
            </w:r>
          </w:p>
        </w:tc>
      </w:tr>
      <w:tr>
        <w:trPr>
          <w:trHeight w:val="190"/>
        </w:trPr>
        <w:tc>
          <w:tcPr>
            <w:tcW w:w="5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definite lived intangible assets</w:t>
            </w:r>
          </w:p>
        </w:tc>
        <w:tc>
          <w:tcPr>
            <w:tcW w:w="4260" w:type="dxa"/>
            <w:vAlign w:val="bottom"/>
            <w:tcBorders>
              <w:bottom w:val="single" w:sz="8" w:color="auto"/>
            </w:tcBorders>
            <w:shd w:val="clear" w:color="auto" w:fill="CCEEFF"/>
          </w:tcPr>
          <w:p>
            <w:pPr>
              <w:jc w:val="right"/>
              <w:ind w:right="200"/>
              <w:spacing w:after="0" w:line="183" w:lineRule="exact"/>
              <w:rPr>
                <w:sz w:val="20"/>
                <w:szCs w:val="20"/>
                <w:color w:val="auto"/>
              </w:rPr>
            </w:pPr>
            <w:r>
              <w:rPr>
                <w:rFonts w:ascii="Arial" w:cs="Arial" w:eastAsia="Arial" w:hAnsi="Arial"/>
                <w:sz w:val="16"/>
                <w:szCs w:val="16"/>
                <w:b w:val="1"/>
                <w:bCs w:val="1"/>
                <w:color w:val="auto"/>
              </w:rPr>
              <w:t>$ 141,779</w:t>
            </w: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102,504</w:t>
            </w:r>
          </w:p>
        </w:tc>
      </w:tr>
    </w:tbl>
    <w:p>
      <w:pPr>
        <w:spacing w:after="0" w:line="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During 2013, the Company retired $309,683 of fully amortized patent costs for which the underlying patents have expired. Patent amortization expense for 2013 was $2,975 (2012: $33,641; 2011: $33,641). Estimated amortization expense for 2014 is $nil. Gross patent costs include $141,779 that have not yet begun to amortize as the patent has not yet been issued. License amortization expense for 2013 was $nil (2012: $1,875; 2011: $1,875). There are no further expenses for licenses.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Prepaid expenses and other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assets include the following at 31 December 2013 and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Prepaid insurance</w:t>
            </w:r>
          </w:p>
        </w:tc>
        <w:tc>
          <w:tcPr>
            <w:tcW w:w="2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b w:val="1"/>
                <w:bCs w:val="1"/>
                <w:color w:val="auto"/>
              </w:rPr>
              <w:t>23,758</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25,449</w:t>
            </w: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Prepaid supplies</w:t>
            </w:r>
          </w:p>
        </w:tc>
        <w:tc>
          <w:tcPr>
            <w:tcW w:w="280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16,525</w:t>
            </w:r>
          </w:p>
        </w:tc>
        <w:tc>
          <w:tcPr>
            <w:tcW w:w="38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7,794</w:t>
            </w:r>
          </w:p>
        </w:tc>
      </w:tr>
      <w:tr>
        <w:trPr>
          <w:trHeight w:val="18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Prepaid professional services</w:t>
            </w:r>
          </w:p>
        </w:tc>
        <w:tc>
          <w:tcPr>
            <w:tcW w:w="28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28,164</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23,979</w:t>
            </w:r>
          </w:p>
        </w:tc>
      </w:tr>
      <w:tr>
        <w:trPr>
          <w:trHeight w:val="189"/>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Prepaid rent and lease deposits, short-term (Note 11)</w:t>
            </w:r>
          </w:p>
        </w:tc>
        <w:tc>
          <w:tcPr>
            <w:tcW w:w="2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152,441</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69,882</w:t>
            </w:r>
          </w:p>
        </w:tc>
      </w:tr>
      <w:tr>
        <w:trPr>
          <w:trHeight w:val="183"/>
        </w:trPr>
        <w:tc>
          <w:tcPr>
            <w:tcW w:w="6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Prepaid expenses and other assets</w:t>
            </w:r>
          </w:p>
        </w:tc>
        <w:tc>
          <w:tcPr>
            <w:tcW w:w="2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b w:val="1"/>
                <w:bCs w:val="1"/>
                <w:color w:val="auto"/>
              </w:rPr>
              <w:t>220,888</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127,104</w:t>
            </w: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Long-term investment</w:t>
            </w:r>
          </w:p>
        </w:tc>
        <w:tc>
          <w:tcPr>
            <w:tcW w:w="2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b w:val="1"/>
                <w:bCs w:val="1"/>
                <w:color w:val="auto"/>
              </w:rPr>
              <w:t>21,628</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21,628</w:t>
            </w:r>
          </w:p>
        </w:tc>
      </w:tr>
      <w:tr>
        <w:trPr>
          <w:trHeight w:val="190"/>
        </w:trPr>
        <w:tc>
          <w:tcPr>
            <w:tcW w:w="6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Other assets</w:t>
            </w:r>
          </w:p>
        </w:tc>
        <w:tc>
          <w:tcPr>
            <w:tcW w:w="2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b w:val="1"/>
                <w:bCs w:val="1"/>
                <w:color w:val="auto"/>
              </w:rPr>
              <w:t>21,628</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21,628</w:t>
            </w:r>
          </w:p>
        </w:tc>
      </w:tr>
    </w:tbl>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Long –term investment consists of 2,162,809 shares of common stock of A/F Protein, Inc. (AFP) with a cost basis of $21,628, which the Company believes to be the best estimate of market value. AFP and the Company have certain shareholders in common.</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Accounts payable and accrued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liabilities include the following at 31 December 2013 and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r>
      <w:tr>
        <w:trPr>
          <w:trHeight w:val="183"/>
        </w:trPr>
        <w:tc>
          <w:tcPr>
            <w:tcW w:w="6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Accounts payable</w:t>
            </w:r>
          </w:p>
        </w:tc>
        <w:tc>
          <w:tcPr>
            <w:tcW w:w="2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b w:val="1"/>
                <w:bCs w:val="1"/>
                <w:color w:val="auto"/>
              </w:rPr>
              <w:t>387,076</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240,878</w:t>
            </w: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Accrued payroll including vacation</w:t>
            </w:r>
          </w:p>
        </w:tc>
        <w:tc>
          <w:tcPr>
            <w:tcW w:w="272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194,824</w:t>
            </w:r>
          </w:p>
        </w:tc>
        <w:tc>
          <w:tcPr>
            <w:tcW w:w="38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90,955</w:t>
            </w: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27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115,439</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87,846</w:t>
            </w:r>
          </w:p>
        </w:tc>
      </w:tr>
      <w:tr>
        <w:trPr>
          <w:trHeight w:val="189"/>
        </w:trPr>
        <w:tc>
          <w:tcPr>
            <w:tcW w:w="6560" w:type="dxa"/>
            <w:vAlign w:val="bottom"/>
          </w:tcPr>
          <w:p>
            <w:pPr>
              <w:spacing w:after="0"/>
              <w:rPr>
                <w:sz w:val="20"/>
                <w:szCs w:val="20"/>
                <w:color w:val="auto"/>
              </w:rPr>
            </w:pPr>
            <w:r>
              <w:rPr>
                <w:rFonts w:ascii="Arial" w:cs="Arial" w:eastAsia="Arial" w:hAnsi="Arial"/>
                <w:sz w:val="16"/>
                <w:szCs w:val="16"/>
                <w:color w:val="auto"/>
              </w:rPr>
              <w:t>Accrued other</w:t>
            </w:r>
          </w:p>
        </w:tc>
        <w:tc>
          <w:tcPr>
            <w:tcW w:w="272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3,313</w:t>
            </w:r>
          </w:p>
        </w:tc>
        <w:tc>
          <w:tcPr>
            <w:tcW w:w="38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11,000</w:t>
            </w:r>
          </w:p>
        </w:tc>
      </w:tr>
      <w:tr>
        <w:trPr>
          <w:trHeight w:val="189"/>
        </w:trPr>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Accrued taxes</w:t>
            </w:r>
          </w:p>
        </w:tc>
        <w:tc>
          <w:tcPr>
            <w:tcW w:w="27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3,376</w:t>
            </w: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5,170</w:t>
            </w:r>
          </w:p>
        </w:tc>
      </w:tr>
      <w:tr>
        <w:trPr>
          <w:trHeight w:val="190"/>
        </w:trPr>
        <w:tc>
          <w:tcPr>
            <w:tcW w:w="6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Accounts payable and accrued liabilities</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b w:val="1"/>
                <w:bCs w:val="1"/>
                <w:color w:val="auto"/>
              </w:rPr>
              <w:t>704,028</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435,849</w:t>
            </w:r>
          </w:p>
        </w:tc>
      </w:tr>
      <w:tr>
        <w:trPr>
          <w:trHeight w:val="345"/>
        </w:trPr>
        <w:tc>
          <w:tcPr>
            <w:tcW w:w="656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2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F-22</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current terms and conditions of long-term debt outstanding at 31 December 2013 and 2012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color w:val="auto"/>
              </w:rPr>
              <w:t>Interest</w:t>
            </w:r>
          </w:p>
        </w:tc>
        <w:tc>
          <w:tcPr>
            <w:tcW w:w="1600" w:type="dxa"/>
            <w:vAlign w:val="bottom"/>
          </w:tcPr>
          <w:p>
            <w:pPr>
              <w:jc w:val="right"/>
              <w:ind w:right="182"/>
              <w:spacing w:after="0"/>
              <w:rPr>
                <w:sz w:val="20"/>
                <w:szCs w:val="20"/>
                <w:color w:val="auto"/>
              </w:rPr>
            </w:pPr>
            <w:r>
              <w:rPr>
                <w:rFonts w:ascii="Arial" w:cs="Arial" w:eastAsia="Arial" w:hAnsi="Arial"/>
                <w:sz w:val="14"/>
                <w:szCs w:val="14"/>
                <w:color w:val="auto"/>
              </w:rPr>
              <w:t>Monthly payment/</w:t>
            </w:r>
          </w:p>
        </w:tc>
        <w:tc>
          <w:tcPr>
            <w:tcW w:w="1540" w:type="dxa"/>
            <w:vAlign w:val="bottom"/>
          </w:tcPr>
          <w:p>
            <w:pPr>
              <w:jc w:val="right"/>
              <w:ind w:right="42"/>
              <w:spacing w:after="0"/>
              <w:rPr>
                <w:sz w:val="20"/>
                <w:szCs w:val="20"/>
                <w:color w:val="auto"/>
              </w:rPr>
            </w:pPr>
            <w:r>
              <w:rPr>
                <w:rFonts w:ascii="Arial" w:cs="Arial" w:eastAsia="Arial" w:hAnsi="Arial"/>
                <w:sz w:val="14"/>
                <w:szCs w:val="14"/>
                <w:color w:val="auto"/>
              </w:rPr>
              <w:t>Maturity</w:t>
            </w:r>
          </w:p>
        </w:tc>
        <w:tc>
          <w:tcPr>
            <w:tcW w:w="280" w:type="dxa"/>
            <w:vAlign w:val="bottom"/>
          </w:tcPr>
          <w:p>
            <w:pPr>
              <w:spacing w:after="0"/>
              <w:rPr>
                <w:sz w:val="14"/>
                <w:szCs w:val="14"/>
                <w:color w:val="auto"/>
              </w:rPr>
            </w:pPr>
          </w:p>
        </w:tc>
        <w:tc>
          <w:tcPr>
            <w:tcW w:w="9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Loan source</w:t>
            </w:r>
          </w:p>
        </w:tc>
        <w:tc>
          <w:tcPr>
            <w:tcW w:w="2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Amount</w:t>
            </w: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rate</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repayment terms</w:t>
            </w:r>
          </w:p>
        </w:tc>
        <w:tc>
          <w:tcPr>
            <w:tcW w:w="15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date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3"/>
        </w:trPr>
        <w:tc>
          <w:tcPr>
            <w:tcW w:w="27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Term and bridge debt:</w:t>
            </w:r>
          </w:p>
        </w:tc>
        <w:tc>
          <w:tcPr>
            <w:tcW w:w="2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80"/>
              <w:spacing w:after="0"/>
              <w:rPr>
                <w:sz w:val="20"/>
                <w:szCs w:val="20"/>
                <w:color w:val="auto"/>
              </w:rPr>
            </w:pPr>
            <w:r>
              <w:rPr>
                <w:rFonts w:ascii="Arial" w:cs="Arial" w:eastAsia="Arial" w:hAnsi="Arial"/>
                <w:sz w:val="16"/>
                <w:szCs w:val="16"/>
                <w:color w:val="auto"/>
              </w:rPr>
              <w:t>EPEI loan</w:t>
            </w:r>
          </w:p>
        </w:tc>
        <w:tc>
          <w:tcPr>
            <w:tcW w:w="2080" w:type="dxa"/>
            <w:vAlign w:val="bottom"/>
          </w:tcPr>
          <w:p>
            <w:pPr>
              <w:jc w:val="right"/>
              <w:ind w:right="80"/>
              <w:spacing w:after="0"/>
              <w:rPr>
                <w:sz w:val="20"/>
                <w:szCs w:val="20"/>
                <w:color w:val="auto"/>
              </w:rPr>
            </w:pPr>
            <w:r>
              <w:rPr>
                <w:rFonts w:ascii="Arial" w:cs="Arial" w:eastAsia="Arial" w:hAnsi="Arial"/>
                <w:sz w:val="16"/>
                <w:szCs w:val="16"/>
                <w:color w:val="auto"/>
              </w:rPr>
              <w:t>C$300,000</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6.657%</w:t>
            </w:r>
          </w:p>
        </w:tc>
        <w:tc>
          <w:tcPr>
            <w:tcW w:w="1600" w:type="dxa"/>
            <w:vAlign w:val="bottom"/>
          </w:tcPr>
          <w:p>
            <w:pPr>
              <w:jc w:val="right"/>
              <w:ind w:right="182"/>
              <w:spacing w:after="0"/>
              <w:rPr>
                <w:sz w:val="20"/>
                <w:szCs w:val="20"/>
                <w:color w:val="auto"/>
              </w:rPr>
            </w:pPr>
            <w:r>
              <w:rPr>
                <w:rFonts w:ascii="Arial" w:cs="Arial" w:eastAsia="Arial" w:hAnsi="Arial"/>
                <w:sz w:val="16"/>
                <w:szCs w:val="16"/>
                <w:color w:val="auto"/>
              </w:rPr>
              <w:t>C$3,738</w:t>
            </w: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December 2013</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42,714</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ACOA loan</w:t>
            </w:r>
          </w:p>
        </w:tc>
        <w:tc>
          <w:tcPr>
            <w:tcW w:w="2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C$250,000</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w:t>
            </w:r>
          </w:p>
        </w:tc>
        <w:tc>
          <w:tcPr>
            <w:tcW w:w="16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C$2,315</w:t>
            </w:r>
          </w:p>
        </w:tc>
        <w:tc>
          <w:tcPr>
            <w:tcW w:w="1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December 2013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27,846</w:t>
            </w:r>
          </w:p>
        </w:tc>
        <w:tc>
          <w:tcPr>
            <w:tcW w:w="0" w:type="dxa"/>
            <w:vAlign w:val="bottom"/>
          </w:tcPr>
          <w:p>
            <w:pPr>
              <w:spacing w:after="0"/>
              <w:rPr>
                <w:sz w:val="1"/>
                <w:szCs w:val="1"/>
                <w:color w:val="auto"/>
              </w:rPr>
            </w:pPr>
          </w:p>
        </w:tc>
      </w:tr>
      <w:tr>
        <w:trPr>
          <w:trHeight w:val="189"/>
        </w:trPr>
        <w:tc>
          <w:tcPr>
            <w:tcW w:w="2780" w:type="dxa"/>
            <w:vAlign w:val="bottom"/>
          </w:tcPr>
          <w:p>
            <w:pPr>
              <w:ind w:left="180"/>
              <w:spacing w:after="0"/>
              <w:rPr>
                <w:sz w:val="20"/>
                <w:szCs w:val="20"/>
                <w:color w:val="auto"/>
              </w:rPr>
            </w:pPr>
            <w:r>
              <w:rPr>
                <w:rFonts w:ascii="Arial" w:cs="Arial" w:eastAsia="Arial" w:hAnsi="Arial"/>
                <w:sz w:val="16"/>
                <w:szCs w:val="16"/>
                <w:color w:val="auto"/>
              </w:rPr>
              <w:t>Intrexon bridge loan</w:t>
            </w:r>
          </w:p>
        </w:tc>
        <w:tc>
          <w:tcPr>
            <w:tcW w:w="2080" w:type="dxa"/>
            <w:vAlign w:val="bottom"/>
          </w:tcPr>
          <w:p>
            <w:pPr>
              <w:jc w:val="right"/>
              <w:ind w:right="80"/>
              <w:spacing w:after="0"/>
              <w:rPr>
                <w:sz w:val="20"/>
                <w:szCs w:val="20"/>
                <w:color w:val="auto"/>
              </w:rPr>
            </w:pPr>
            <w:r>
              <w:rPr>
                <w:rFonts w:ascii="Arial" w:cs="Arial" w:eastAsia="Arial" w:hAnsi="Arial"/>
                <w:sz w:val="16"/>
                <w:szCs w:val="16"/>
                <w:color w:val="auto"/>
              </w:rPr>
              <w:t>US$500,000</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1600" w:type="dxa"/>
            <w:vAlign w:val="bottom"/>
          </w:tcPr>
          <w:p>
            <w:pPr>
              <w:jc w:val="right"/>
              <w:ind w:right="182"/>
              <w:spacing w:after="0"/>
              <w:rPr>
                <w:sz w:val="20"/>
                <w:szCs w:val="20"/>
                <w:color w:val="auto"/>
              </w:rPr>
            </w:pPr>
            <w:r>
              <w:rPr>
                <w:rFonts w:ascii="Arial" w:cs="Arial" w:eastAsia="Arial" w:hAnsi="Arial"/>
                <w:sz w:val="16"/>
                <w:szCs w:val="16"/>
                <w:color w:val="auto"/>
              </w:rPr>
              <w:t>None</w:t>
            </w: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May 2013</w:t>
            </w:r>
          </w:p>
        </w:tc>
        <w:tc>
          <w:tcPr>
            <w:tcW w:w="28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Royalty-based financing:</w:t>
            </w:r>
          </w:p>
        </w:tc>
        <w:tc>
          <w:tcPr>
            <w:tcW w:w="2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80"/>
              <w:spacing w:after="0"/>
              <w:rPr>
                <w:sz w:val="20"/>
                <w:szCs w:val="20"/>
                <w:color w:val="auto"/>
              </w:rPr>
            </w:pPr>
            <w:r>
              <w:rPr>
                <w:rFonts w:ascii="Arial" w:cs="Arial" w:eastAsia="Arial" w:hAnsi="Arial"/>
                <w:sz w:val="16"/>
                <w:szCs w:val="16"/>
                <w:color w:val="auto"/>
              </w:rPr>
              <w:t>ACOA AIF grant</w:t>
            </w:r>
          </w:p>
        </w:tc>
        <w:tc>
          <w:tcPr>
            <w:tcW w:w="2080" w:type="dxa"/>
            <w:vAlign w:val="bottom"/>
          </w:tcPr>
          <w:p>
            <w:pPr>
              <w:jc w:val="right"/>
              <w:ind w:right="80"/>
              <w:spacing w:after="0"/>
              <w:rPr>
                <w:sz w:val="20"/>
                <w:szCs w:val="20"/>
                <w:color w:val="auto"/>
              </w:rPr>
            </w:pPr>
            <w:r>
              <w:rPr>
                <w:rFonts w:ascii="Arial" w:cs="Arial" w:eastAsia="Arial" w:hAnsi="Arial"/>
                <w:sz w:val="16"/>
                <w:szCs w:val="16"/>
                <w:color w:val="auto"/>
              </w:rPr>
              <w:t>C$2,523,963</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0%</w:t>
            </w:r>
          </w:p>
        </w:tc>
        <w:tc>
          <w:tcPr>
            <w:tcW w:w="1600" w:type="dxa"/>
            <w:vAlign w:val="bottom"/>
          </w:tcPr>
          <w:p>
            <w:pPr>
              <w:jc w:val="right"/>
              <w:ind w:right="182"/>
              <w:spacing w:after="0"/>
              <w:rPr>
                <w:sz w:val="20"/>
                <w:szCs w:val="20"/>
                <w:color w:val="auto"/>
              </w:rPr>
            </w:pPr>
            <w:r>
              <w:rPr>
                <w:rFonts w:ascii="Arial" w:cs="Arial" w:eastAsia="Arial" w:hAnsi="Arial"/>
                <w:sz w:val="16"/>
                <w:szCs w:val="16"/>
                <w:color w:val="auto"/>
              </w:rPr>
              <w:t>Royalties</w:t>
            </w: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2,359,653</w:t>
            </w:r>
          </w:p>
        </w:tc>
        <w:tc>
          <w:tcPr>
            <w:tcW w:w="3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1,834,287</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TPC funding</w:t>
            </w:r>
          </w:p>
        </w:tc>
        <w:tc>
          <w:tcPr>
            <w:tcW w:w="2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C$2,964,900</w:t>
            </w: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Royalties</w:t>
            </w:r>
          </w:p>
        </w:tc>
        <w:tc>
          <w:tcPr>
            <w:tcW w:w="1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June 2014</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200,620</w:t>
            </w:r>
          </w:p>
        </w:tc>
        <w:tc>
          <w:tcPr>
            <w:tcW w:w="0" w:type="dxa"/>
            <w:vAlign w:val="bottom"/>
          </w:tcPr>
          <w:p>
            <w:pPr>
              <w:spacing w:after="0"/>
              <w:rPr>
                <w:sz w:val="1"/>
                <w:szCs w:val="1"/>
                <w:color w:val="auto"/>
              </w:rPr>
            </w:pPr>
          </w:p>
        </w:tc>
      </w:tr>
      <w:tr>
        <w:trPr>
          <w:trHeight w:val="183"/>
        </w:trPr>
        <w:tc>
          <w:tcPr>
            <w:tcW w:w="2780" w:type="dxa"/>
            <w:vAlign w:val="bottom"/>
          </w:tcPr>
          <w:p>
            <w:pPr>
              <w:spacing w:after="0" w:line="183" w:lineRule="exact"/>
              <w:rPr>
                <w:sz w:val="20"/>
                <w:szCs w:val="20"/>
                <w:color w:val="auto"/>
              </w:rPr>
            </w:pPr>
            <w:r>
              <w:rPr>
                <w:rFonts w:ascii="Arial" w:cs="Arial" w:eastAsia="Arial" w:hAnsi="Arial"/>
                <w:sz w:val="16"/>
                <w:szCs w:val="16"/>
                <w:color w:val="auto"/>
              </w:rPr>
              <w:t>Total debt</w:t>
            </w:r>
          </w:p>
        </w:tc>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
              <w:spacing w:after="0" w:line="183" w:lineRule="exact"/>
              <w:rPr>
                <w:sz w:val="20"/>
                <w:szCs w:val="20"/>
                <w:color w:val="auto"/>
              </w:rPr>
            </w:pPr>
            <w:r>
              <w:rPr>
                <w:rFonts w:ascii="Arial" w:cs="Arial" w:eastAsia="Arial" w:hAnsi="Arial"/>
                <w:sz w:val="16"/>
                <w:szCs w:val="16"/>
                <w:b w:val="1"/>
                <w:bCs w:val="1"/>
                <w:color w:val="auto"/>
              </w:rPr>
              <w:t>2,359,653</w:t>
            </w:r>
          </w:p>
        </w:tc>
        <w:tc>
          <w:tcPr>
            <w:tcW w:w="300" w:type="dxa"/>
            <w:vAlign w:val="bottom"/>
          </w:tcPr>
          <w:p>
            <w:pPr>
              <w:spacing w:after="0"/>
              <w:rPr>
                <w:sz w:val="15"/>
                <w:szCs w:val="15"/>
                <w:color w:val="auto"/>
              </w:rPr>
            </w:pPr>
          </w:p>
        </w:tc>
        <w:tc>
          <w:tcPr>
            <w:tcW w:w="9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2,305,467</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0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(270,560)</w:t>
            </w:r>
          </w:p>
        </w:tc>
        <w:tc>
          <w:tcPr>
            <w:tcW w:w="0" w:type="dxa"/>
            <w:vAlign w:val="bottom"/>
          </w:tcPr>
          <w:p>
            <w:pPr>
              <w:spacing w:after="0"/>
              <w:rPr>
                <w:sz w:val="1"/>
                <w:szCs w:val="1"/>
                <w:color w:val="auto"/>
              </w:rPr>
            </w:pPr>
          </w:p>
        </w:tc>
      </w:tr>
      <w:tr>
        <w:trPr>
          <w:trHeight w:val="208"/>
        </w:trPr>
        <w:tc>
          <w:tcPr>
            <w:tcW w:w="2780" w:type="dxa"/>
            <w:vAlign w:val="bottom"/>
          </w:tcPr>
          <w:p>
            <w:pPr>
              <w:spacing w:after="0"/>
              <w:rPr>
                <w:sz w:val="20"/>
                <w:szCs w:val="20"/>
                <w:color w:val="auto"/>
              </w:rPr>
            </w:pPr>
            <w:r>
              <w:rPr>
                <w:rFonts w:ascii="Arial" w:cs="Arial" w:eastAsia="Arial" w:hAnsi="Arial"/>
                <w:sz w:val="16"/>
                <w:szCs w:val="16"/>
                <w:color w:val="auto"/>
              </w:rPr>
              <w:t>Long-term debt</w:t>
            </w: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2,359,653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2,034,907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760"/>
        <w:spacing w:after="0" w:line="317" w:lineRule="auto"/>
        <w:rPr>
          <w:sz w:val="20"/>
          <w:szCs w:val="20"/>
          <w:color w:val="auto"/>
        </w:rPr>
      </w:pPr>
      <w:r>
        <w:rPr>
          <w:rFonts w:ascii="Arial" w:cs="Arial" w:eastAsia="Arial" w:hAnsi="Arial"/>
          <w:sz w:val="16"/>
          <w:szCs w:val="16"/>
          <w:color w:val="auto"/>
        </w:rPr>
        <w:t xml:space="preserve">All term debt was repaid in full in 2013. The difference between 2012 balances and closing payoff amounts are due to foreign exchange adjustments. </w:t>
      </w:r>
      <w:r>
        <w:rPr>
          <w:rFonts w:ascii="Arial" w:cs="Arial" w:eastAsia="Arial" w:hAnsi="Arial"/>
          <w:sz w:val="16"/>
          <w:szCs w:val="16"/>
          <w:b w:val="1"/>
          <w:bCs w:val="1"/>
          <w:i w:val="1"/>
          <w:iCs w:val="1"/>
          <w:color w:val="auto"/>
        </w:rPr>
        <w:t>Enterprise PEI (EPEI)</w:t>
      </w:r>
    </w:p>
    <w:p>
      <w:pPr>
        <w:ind w:right="420"/>
        <w:spacing w:after="0" w:line="260" w:lineRule="auto"/>
        <w:rPr>
          <w:sz w:val="20"/>
          <w:szCs w:val="20"/>
          <w:color w:val="auto"/>
        </w:rPr>
      </w:pPr>
      <w:r>
        <w:rPr>
          <w:rFonts w:ascii="Arial" w:cs="Arial" w:eastAsia="Arial" w:hAnsi="Arial"/>
          <w:sz w:val="16"/>
          <w:szCs w:val="16"/>
          <w:color w:val="auto"/>
        </w:rPr>
        <w:t>EPEI is a provincial government agency that provides funding to promote the growth and development of companies within the province of Prince Edward Island.</w:t>
      </w:r>
    </w:p>
    <w:p>
      <w:pPr>
        <w:spacing w:after="0" w:line="8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August 2003, the Canadian subsidiary obtained a loan with EPEI in the amount of C$300,000. This loan was being repaid through monthly payments of principal and interest and was collateralized by a demand note executed by the Canadian Subsidiary. In addition, the loan provided additional collateralization including fixed or floating liens on substantially all of the Canadian Subsidiary’s assets, including land, building and fixtures and accounts receivable, as well as an assignment of fire insurance. The loan was fully repaid upon maturity in December 2013.</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Atlantic Canada Opportunities Agency (ACOA)</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ACOA is a Canadian government agency that provides funding to support the development of businesses and to promote employment in the Atlantic region of Canada.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debt:</w:t>
      </w:r>
    </w:p>
    <w:p>
      <w:pPr>
        <w:spacing w:after="0" w:line="1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In October 2003, the Canadian Subsidiary obtained a loan with ACOA in the amount of C$250,000. The loan was being repaid through monthly payments of principal and was unsecured. The loan was fully repaid upon maturity in December 2013.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Royalty-based financing:</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January 2009, the Canadian Subsidiary was awarded a grant from ACOA to provide a contribution towards the funding of a research and development project. The total amount available under the award is C$2,871,900 which can be claimed over a five-year period. All amounts claimed by the Canadian Subsidiary must be repaid in the form of a 10% royalty on any products that are commercialized out of this research project, until the loan is fully paid. During 2013, the Canadian Subsidiary submitted a claim and received funds in the amount of C$695,344 (2012: C$678,504). No repayments have been made to date. Cumulative draws on this award aggregate C$2,523,963 and the remaining balance available under this award at 31 December 2013 is C$347,937.</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Intrexon Corporation (Intrexon)</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Intrexon is a public company specializing in next generation synthetic biology. In November 2012, Intrexon purchased the common shares of AquaBounty that had been previously held by Linnaeus Capital Partners, B.V. and thus became the majority shareholder in the Company.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F-23</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December 2012, Intrexon agreed to provide the Company with a $500,000 bridge loan to help fund operations until permanent financing could be completed. The loan could be drawn-down in increments of $100,000 and carried an interest rate of 3%. All funds borrowed, plus interest, were to be repaid from the proceeds of the Company’s next fundraising, but no later than May 2013. As of 31 December 2012, the Company had borrowed $200,000 under this debt facility. In January and February 2013, the Company borrowed the additional $300,000 available under this debt facility. All amounts were repaid in full in March 2013, including accrued interest of $2,567.</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Partnership Canada (TPC)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TPC is a Canadian government agency that provides funding to promote economic growth and create jobs in Canada.</w:t>
      </w:r>
    </w:p>
    <w:p>
      <w:pPr>
        <w:spacing w:after="0" w:line="11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November 1999, TPC agreed to provide funding up to C$2,964,900 to support the Canadian Subsidiary’s efforts to develop commercial applications of its transgenic growth enhanced fin fish technology. Funding under the TPC funding agreement was completed in 2003. This amount is repayable to TPC in the form of a 5.2% royalty on revenues generated from the sale of transgenic based growth enhanced fin fish commercial products. However, the Canadian Subsidiary will have no further repayment obligations after 30 June 2014 even if the total amount has not been repaid as of such date. In 2011, management concluded that the probable amount owed would not exceed C$200,000 and the balance owed to TPC was adjusted to C$200,000 at that time. In 2013, management concluded that the probable amount owed would be $0 as no revenue would be generated to pay back the outstanding balance prior to the loan termination date. As a result, the balance owed to TPC was adjusted to $0 and the Company recognized a gain of C$200,000 in 2013 (US$186,980 after foreign exchange adjustment).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interest expense in 2013 of $3,877 (2012: $4,631; 2011: $6,895) on their interest-bearing debt.</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Stockholders’ equity</w:t>
      </w:r>
    </w:p>
    <w:p>
      <w:pPr>
        <w:spacing w:after="0" w:line="133"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The Company is presently authorized to issue up to 240 million shares of stock, of which 40 million are authorized as preferred stock and 200 million as common stock. At 31 December 2013 the Company had nil shares (2012: nil) of preferred stock and 125,305,471 shares (2012: 102,255,688) of common stock, issued and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holders of the common shares are entitled to one vote for each share held at all meetings of stockholders. Dividends and distribution of assets of the Company in the event of liquidation are subject to the preferential rights of any outstanding preferred shares. At 31 December 2013 the Company had reserved 6,624,000 shares of common stock for the exercise of options.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issuances</w:t>
      </w:r>
    </w:p>
    <w:p>
      <w:pPr>
        <w:spacing w:after="0" w:line="2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On 1 July 2013 the Company issued 65,217 shares of common stock as part of the compensation package for the Chairman of the Board of Directors. The Company recorded a compensation charge of $22,812 in connection with the issuance.</w:t>
      </w:r>
    </w:p>
    <w:p>
      <w:pPr>
        <w:spacing w:after="0" w:line="8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March 2013 the Company received proceeds of $4,000 in connection with the exercise of options to purchase 29,500 shares of common stock. In addition, the Company issued 71,771 shares of common stock in a cashless exercise of 132,500 options.</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February 2013 the Board approved a fundraising of approximately £3.9 million ($6.0 million) before expenses by means of a subscription for new common shares by certain existing shareholders. The subscription price was 16.89 pence per share ($0.2622) and the aggregate number of common shares subscribed was 22,883,295. The transaction closed on 15 March 2013 with net proceeds to the Company of $5.73 million.</w:t>
      </w:r>
    </w:p>
    <w:p>
      <w:pPr>
        <w:spacing w:after="0" w:line="9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2 July 2012 the Company issued 196,850 shares of common stock as part of the compensation package for the Chairman of the Board of Directors. The Company recorded a compensation charge in 2012 of $23,550 in connection with the issuance.</w:t>
      </w:r>
    </w:p>
    <w:p>
      <w:pPr>
        <w:spacing w:after="0" w:line="8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January 2012 the Board approved a fundraising of approximately £1.26 million ($2.0 million) before expenses by means of a subscription for new common shares by certain existing shareholders. The subscription price was 3.79 pence per share ($0.0601) and the aggregate number of common shares subscribed was 33,277,870. The transaction closed on 22 March 2012 with net proceeds to the Company of $1.74 million.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F-24</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1 July 2011 the Company issued 226,586 shares of common stock as part of the compensation package for the Chairman of the Board of Directors. The Company recorded a compensation charge in 2011 of $24,086 in connection with the issuance.</w:t>
      </w:r>
    </w:p>
    <w:p>
      <w:pPr>
        <w:spacing w:after="0" w:line="88" w:lineRule="exact"/>
        <w:rPr>
          <w:sz w:val="20"/>
          <w:szCs w:val="20"/>
          <w:color w:val="auto"/>
        </w:rPr>
      </w:pPr>
    </w:p>
    <w:p>
      <w:pPr>
        <w:ind w:right="740"/>
        <w:spacing w:after="0" w:line="317" w:lineRule="auto"/>
        <w:rPr>
          <w:sz w:val="20"/>
          <w:szCs w:val="20"/>
          <w:color w:val="auto"/>
        </w:rPr>
      </w:pPr>
      <w:r>
        <w:rPr>
          <w:rFonts w:ascii="Arial" w:cs="Arial" w:eastAsia="Arial" w:hAnsi="Arial"/>
          <w:sz w:val="16"/>
          <w:szCs w:val="16"/>
          <w:color w:val="auto"/>
        </w:rPr>
        <w:t xml:space="preserve">On 17 May 2011 the Company received proceeds of $3,873 in connection with the exercise of options to purchase 387,273 shares of common stock. </w:t>
      </w:r>
      <w:r>
        <w:rPr>
          <w:rFonts w:ascii="Arial" w:cs="Arial" w:eastAsia="Arial" w:hAnsi="Arial"/>
          <w:sz w:val="16"/>
          <w:szCs w:val="16"/>
          <w:b w:val="1"/>
          <w:bCs w:val="1"/>
          <w:i w:val="1"/>
          <w:iCs w:val="1"/>
          <w:color w:val="auto"/>
        </w:rPr>
        <w:t>Stock options</w:t>
      </w:r>
    </w:p>
    <w:p>
      <w:pPr>
        <w:ind w:right="420"/>
        <w:spacing w:after="0" w:line="253" w:lineRule="auto"/>
        <w:rPr>
          <w:sz w:val="20"/>
          <w:szCs w:val="20"/>
          <w:color w:val="auto"/>
        </w:rPr>
      </w:pPr>
      <w:r>
        <w:rPr>
          <w:rFonts w:ascii="Arial" w:cs="Arial" w:eastAsia="Arial" w:hAnsi="Arial"/>
          <w:sz w:val="16"/>
          <w:szCs w:val="16"/>
          <w:color w:val="auto"/>
        </w:rPr>
        <w:t>In 1998 the Company established a stock option plan. This plan was superseded by the 2006 Equity Incentive Plan (the “Plan”). The Plan provides for the issuance of incentive stock options to employees of the Company and non-qualified stock options and awards of restricted and direct stock purchases to Directors, officers, employees and consultants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Company’s option activity under the Plan is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4180" w:type="dxa"/>
            <w:vAlign w:val="bottom"/>
          </w:tcPr>
          <w:p>
            <w:pPr>
              <w:jc w:val="right"/>
              <w:ind w:right="360"/>
              <w:spacing w:after="0"/>
              <w:rPr>
                <w:sz w:val="20"/>
                <w:szCs w:val="20"/>
                <w:color w:val="auto"/>
              </w:rPr>
            </w:pPr>
            <w:r>
              <w:rPr>
                <w:rFonts w:ascii="Arial" w:cs="Arial" w:eastAsia="Arial" w:hAnsi="Arial"/>
                <w:sz w:val="14"/>
                <w:szCs w:val="14"/>
                <w:color w:val="auto"/>
              </w:rPr>
              <w:t>Number of</w:t>
            </w:r>
          </w:p>
        </w:tc>
        <w:tc>
          <w:tcPr>
            <w:tcW w:w="1780" w:type="dxa"/>
            <w:vAlign w:val="bottom"/>
          </w:tcPr>
          <w:p>
            <w:pPr>
              <w:jc w:val="right"/>
              <w:ind w:right="140"/>
              <w:spacing w:after="0"/>
              <w:rPr>
                <w:sz w:val="20"/>
                <w:szCs w:val="20"/>
                <w:color w:val="auto"/>
              </w:rPr>
            </w:pPr>
            <w:r>
              <w:rPr>
                <w:rFonts w:ascii="Arial" w:cs="Arial" w:eastAsia="Arial" w:hAnsi="Arial"/>
                <w:sz w:val="14"/>
                <w:szCs w:val="14"/>
                <w:color w:val="auto"/>
              </w:rPr>
              <w:t>Weighted average</w:t>
            </w:r>
          </w:p>
        </w:tc>
      </w:tr>
      <w:tr>
        <w:trPr>
          <w:trHeight w:val="157"/>
        </w:trPr>
        <w:tc>
          <w:tcPr>
            <w:tcW w:w="546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jc w:val="right"/>
              <w:ind w:right="360"/>
              <w:spacing w:after="0" w:line="157" w:lineRule="exact"/>
              <w:rPr>
                <w:sz w:val="20"/>
                <w:szCs w:val="20"/>
                <w:color w:val="auto"/>
              </w:rPr>
            </w:pPr>
            <w:r>
              <w:rPr>
                <w:rFonts w:ascii="Arial" w:cs="Arial" w:eastAsia="Arial" w:hAnsi="Arial"/>
                <w:sz w:val="14"/>
                <w:szCs w:val="14"/>
                <w:color w:val="auto"/>
              </w:rPr>
              <w:t>options</w:t>
            </w:r>
          </w:p>
        </w:tc>
        <w:tc>
          <w:tcPr>
            <w:tcW w:w="1780" w:type="dxa"/>
            <w:vAlign w:val="bottom"/>
            <w:tcBorders>
              <w:bottom w:val="single" w:sz="8" w:color="auto"/>
            </w:tcBorders>
          </w:tcPr>
          <w:p>
            <w:pPr>
              <w:jc w:val="right"/>
              <w:ind w:right="140"/>
              <w:spacing w:after="0" w:line="157" w:lineRule="exact"/>
              <w:rPr>
                <w:sz w:val="20"/>
                <w:szCs w:val="20"/>
                <w:color w:val="auto"/>
              </w:rPr>
            </w:pPr>
            <w:r>
              <w:rPr>
                <w:rFonts w:ascii="Arial" w:cs="Arial" w:eastAsia="Arial" w:hAnsi="Arial"/>
                <w:sz w:val="14"/>
                <w:szCs w:val="14"/>
                <w:color w:val="auto"/>
              </w:rPr>
              <w:t>exercise price</w:t>
            </w:r>
          </w:p>
        </w:tc>
      </w:tr>
      <w:tr>
        <w:trPr>
          <w:trHeight w:val="183"/>
        </w:trPr>
        <w:tc>
          <w:tcPr>
            <w:tcW w:w="5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Outstanding at 31 December 2010</w:t>
            </w:r>
          </w:p>
        </w:tc>
        <w:tc>
          <w:tcPr>
            <w:tcW w:w="4180" w:type="dxa"/>
            <w:vAlign w:val="bottom"/>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7,947,773</w:t>
            </w:r>
          </w:p>
        </w:tc>
        <w:tc>
          <w:tcPr>
            <w:tcW w:w="17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$0.20</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Issued</w:t>
            </w:r>
          </w:p>
        </w:tc>
        <w:tc>
          <w:tcPr>
            <w:tcW w:w="4180" w:type="dxa"/>
            <w:vAlign w:val="bottom"/>
          </w:tcPr>
          <w:p>
            <w:pPr>
              <w:jc w:val="right"/>
              <w:ind w:right="360"/>
              <w:spacing w:after="0"/>
              <w:rPr>
                <w:sz w:val="20"/>
                <w:szCs w:val="20"/>
                <w:color w:val="auto"/>
              </w:rPr>
            </w:pPr>
            <w:r>
              <w:rPr>
                <w:rFonts w:ascii="Arial" w:cs="Arial" w:eastAsia="Arial" w:hAnsi="Arial"/>
                <w:sz w:val="16"/>
                <w:szCs w:val="16"/>
                <w:color w:val="auto"/>
              </w:rPr>
              <w:t>945,500</w:t>
            </w:r>
          </w:p>
        </w:tc>
        <w:tc>
          <w:tcPr>
            <w:tcW w:w="1780" w:type="dxa"/>
            <w:vAlign w:val="bottom"/>
          </w:tcPr>
          <w:p>
            <w:pPr>
              <w:jc w:val="right"/>
              <w:ind w:right="140"/>
              <w:spacing w:after="0"/>
              <w:rPr>
                <w:sz w:val="20"/>
                <w:szCs w:val="20"/>
                <w:color w:val="auto"/>
              </w:rPr>
            </w:pPr>
            <w:r>
              <w:rPr>
                <w:rFonts w:ascii="Arial" w:cs="Arial" w:eastAsia="Arial" w:hAnsi="Arial"/>
                <w:sz w:val="16"/>
                <w:szCs w:val="16"/>
                <w:color w:val="auto"/>
              </w:rPr>
              <w:t>0.21</w:t>
            </w:r>
          </w:p>
        </w:tc>
      </w:tr>
      <w:tr>
        <w:trPr>
          <w:trHeight w:val="189"/>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4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(387,273)</w:t>
            </w:r>
          </w:p>
        </w:tc>
        <w:tc>
          <w:tcPr>
            <w:tcW w:w="1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r>
      <w:tr>
        <w:trPr>
          <w:trHeight w:val="18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Expired</w:t>
            </w:r>
          </w:p>
        </w:tc>
        <w:tc>
          <w:tcPr>
            <w:tcW w:w="4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(151,000)</w:t>
            </w:r>
          </w:p>
        </w:tc>
        <w:tc>
          <w:tcPr>
            <w:tcW w:w="17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0.21</w:t>
            </w:r>
          </w:p>
        </w:tc>
      </w:tr>
      <w:tr>
        <w:trPr>
          <w:trHeight w:val="183"/>
        </w:trPr>
        <w:tc>
          <w:tcPr>
            <w:tcW w:w="5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Outstanding at 31 December 2011</w:t>
            </w:r>
          </w:p>
        </w:tc>
        <w:tc>
          <w:tcPr>
            <w:tcW w:w="4180" w:type="dxa"/>
            <w:vAlign w:val="bottom"/>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8,355,000</w:t>
            </w:r>
          </w:p>
        </w:tc>
        <w:tc>
          <w:tcPr>
            <w:tcW w:w="17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$0.21</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Issued</w:t>
            </w:r>
          </w:p>
        </w:tc>
        <w:tc>
          <w:tcPr>
            <w:tcW w:w="4180" w:type="dxa"/>
            <w:vAlign w:val="bottom"/>
          </w:tcPr>
          <w:p>
            <w:pPr>
              <w:jc w:val="right"/>
              <w:ind w:right="360"/>
              <w:spacing w:after="0"/>
              <w:rPr>
                <w:sz w:val="20"/>
                <w:szCs w:val="20"/>
                <w:color w:val="auto"/>
              </w:rPr>
            </w:pPr>
            <w:r>
              <w:rPr>
                <w:rFonts w:ascii="Arial" w:cs="Arial" w:eastAsia="Arial" w:hAnsi="Arial"/>
                <w:sz w:val="16"/>
                <w:szCs w:val="16"/>
                <w:color w:val="auto"/>
              </w:rPr>
              <w:t>72,000</w:t>
            </w:r>
          </w:p>
        </w:tc>
        <w:tc>
          <w:tcPr>
            <w:tcW w:w="1780" w:type="dxa"/>
            <w:vAlign w:val="bottom"/>
          </w:tcPr>
          <w:p>
            <w:pPr>
              <w:jc w:val="right"/>
              <w:ind w:right="140"/>
              <w:spacing w:after="0"/>
              <w:rPr>
                <w:sz w:val="20"/>
                <w:szCs w:val="20"/>
                <w:color w:val="auto"/>
              </w:rPr>
            </w:pPr>
            <w:r>
              <w:rPr>
                <w:rFonts w:ascii="Arial" w:cs="Arial" w:eastAsia="Arial" w:hAnsi="Arial"/>
                <w:sz w:val="16"/>
                <w:szCs w:val="16"/>
                <w:color w:val="auto"/>
              </w:rPr>
              <w:t>0.12</w:t>
            </w:r>
          </w:p>
        </w:tc>
      </w:tr>
      <w:tr>
        <w:trPr>
          <w:trHeight w:val="189"/>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41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Expired</w:t>
            </w:r>
          </w:p>
        </w:tc>
        <w:tc>
          <w:tcPr>
            <w:tcW w:w="4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(1,225,000)</w:t>
            </w:r>
          </w:p>
        </w:tc>
        <w:tc>
          <w:tcPr>
            <w:tcW w:w="17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0.20</w:t>
            </w:r>
          </w:p>
        </w:tc>
      </w:tr>
      <w:tr>
        <w:trPr>
          <w:trHeight w:val="183"/>
        </w:trPr>
        <w:tc>
          <w:tcPr>
            <w:tcW w:w="5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Outstanding at 31 December 2012</w:t>
            </w:r>
          </w:p>
        </w:tc>
        <w:tc>
          <w:tcPr>
            <w:tcW w:w="4180" w:type="dxa"/>
            <w:vAlign w:val="bottom"/>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7,202,000</w:t>
            </w:r>
          </w:p>
        </w:tc>
        <w:tc>
          <w:tcPr>
            <w:tcW w:w="1780" w:type="dxa"/>
            <w:vAlign w:val="bottom"/>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$0.28</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Issued</w:t>
            </w:r>
          </w:p>
        </w:tc>
        <w:tc>
          <w:tcPr>
            <w:tcW w:w="4180" w:type="dxa"/>
            <w:vAlign w:val="bottom"/>
          </w:tcPr>
          <w:p>
            <w:pPr>
              <w:jc w:val="right"/>
              <w:ind w:right="360"/>
              <w:spacing w:after="0"/>
              <w:rPr>
                <w:sz w:val="20"/>
                <w:szCs w:val="20"/>
                <w:color w:val="auto"/>
              </w:rPr>
            </w:pPr>
            <w:r>
              <w:rPr>
                <w:rFonts w:ascii="Arial" w:cs="Arial" w:eastAsia="Arial" w:hAnsi="Arial"/>
                <w:sz w:val="16"/>
                <w:szCs w:val="16"/>
                <w:color w:val="auto"/>
              </w:rPr>
              <w:t>596,000</w:t>
            </w:r>
          </w:p>
        </w:tc>
        <w:tc>
          <w:tcPr>
            <w:tcW w:w="1780" w:type="dxa"/>
            <w:vAlign w:val="bottom"/>
          </w:tcPr>
          <w:p>
            <w:pPr>
              <w:jc w:val="right"/>
              <w:ind w:right="140"/>
              <w:spacing w:after="0"/>
              <w:rPr>
                <w:sz w:val="20"/>
                <w:szCs w:val="20"/>
                <w:color w:val="auto"/>
              </w:rPr>
            </w:pPr>
            <w:r>
              <w:rPr>
                <w:rFonts w:ascii="Arial" w:cs="Arial" w:eastAsia="Arial" w:hAnsi="Arial"/>
                <w:sz w:val="16"/>
                <w:szCs w:val="16"/>
                <w:color w:val="auto"/>
              </w:rPr>
              <w:t>0.27</w:t>
            </w:r>
          </w:p>
        </w:tc>
      </w:tr>
      <w:tr>
        <w:trPr>
          <w:trHeight w:val="189"/>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4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(162,000)</w:t>
            </w:r>
          </w:p>
        </w:tc>
        <w:tc>
          <w:tcPr>
            <w:tcW w:w="17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0.12</w:t>
            </w:r>
          </w:p>
        </w:tc>
      </w:tr>
      <w:tr>
        <w:trPr>
          <w:trHeight w:val="18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Expired</w:t>
            </w:r>
          </w:p>
        </w:tc>
        <w:tc>
          <w:tcPr>
            <w:tcW w:w="4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(1,012,000)</w:t>
            </w:r>
          </w:p>
        </w:tc>
        <w:tc>
          <w:tcPr>
            <w:tcW w:w="17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0.51</w:t>
            </w:r>
          </w:p>
        </w:tc>
      </w:tr>
      <w:tr>
        <w:trPr>
          <w:trHeight w:val="183"/>
        </w:trPr>
        <w:tc>
          <w:tcPr>
            <w:tcW w:w="54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Outstanding at 31 December 2013</w:t>
            </w:r>
          </w:p>
        </w:tc>
        <w:tc>
          <w:tcPr>
            <w:tcW w:w="4180" w:type="dxa"/>
            <w:vAlign w:val="bottom"/>
            <w:tcBorders>
              <w:bottom w:val="single" w:sz="8" w:color="auto"/>
            </w:tcBorders>
            <w:shd w:val="clear" w:color="auto" w:fill="CCEEFF"/>
          </w:tcPr>
          <w:p>
            <w:pPr>
              <w:jc w:val="right"/>
              <w:ind w:right="360"/>
              <w:spacing w:after="0" w:line="183" w:lineRule="exact"/>
              <w:rPr>
                <w:sz w:val="20"/>
                <w:szCs w:val="20"/>
                <w:color w:val="auto"/>
              </w:rPr>
            </w:pPr>
            <w:r>
              <w:rPr>
                <w:rFonts w:ascii="Arial" w:cs="Arial" w:eastAsia="Arial" w:hAnsi="Arial"/>
                <w:sz w:val="16"/>
                <w:szCs w:val="16"/>
                <w:color w:val="auto"/>
              </w:rPr>
              <w:t>6,624,000</w:t>
            </w:r>
          </w:p>
        </w:tc>
        <w:tc>
          <w:tcPr>
            <w:tcW w:w="1780" w:type="dxa"/>
            <w:vAlign w:val="bottom"/>
            <w:tcBorders>
              <w:bottom w:val="single" w:sz="8" w:color="auto"/>
            </w:tcBorders>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$0.25</w:t>
            </w:r>
          </w:p>
        </w:tc>
      </w:tr>
      <w:tr>
        <w:trPr>
          <w:trHeight w:val="190"/>
        </w:trPr>
        <w:tc>
          <w:tcPr>
            <w:tcW w:w="5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Exercisable at 31 December 2013</w:t>
            </w:r>
          </w:p>
        </w:tc>
        <w:tc>
          <w:tcPr>
            <w:tcW w:w="418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6,052,000</w:t>
            </w:r>
          </w:p>
        </w:tc>
        <w:tc>
          <w:tcPr>
            <w:tcW w:w="17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$0.25</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options outstanding and exercisable at 31 December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40" w:type="dxa"/>
            <w:vAlign w:val="bottom"/>
          </w:tcPr>
          <w:p>
            <w:pPr>
              <w:jc w:val="right"/>
              <w:ind w:right="381"/>
              <w:spacing w:after="0"/>
              <w:rPr>
                <w:sz w:val="20"/>
                <w:szCs w:val="20"/>
                <w:color w:val="auto"/>
              </w:rPr>
            </w:pPr>
            <w:r>
              <w:rPr>
                <w:rFonts w:ascii="Arial" w:cs="Arial" w:eastAsia="Arial" w:hAnsi="Arial"/>
                <w:sz w:val="14"/>
                <w:szCs w:val="14"/>
                <w:color w:val="auto"/>
              </w:rPr>
              <w:t>Weighted average</w:t>
            </w:r>
          </w:p>
        </w:tc>
        <w:tc>
          <w:tcPr>
            <w:tcW w:w="2120" w:type="dxa"/>
            <w:vAlign w:val="bottom"/>
          </w:tcPr>
          <w:p>
            <w:pPr>
              <w:spacing w:after="0"/>
              <w:rPr>
                <w:sz w:val="14"/>
                <w:szCs w:val="14"/>
                <w:color w:val="auto"/>
              </w:rPr>
            </w:pPr>
          </w:p>
        </w:tc>
        <w:tc>
          <w:tcPr>
            <w:tcW w:w="2380" w:type="dxa"/>
            <w:vAlign w:val="bottom"/>
            <w:gridSpan w:val="2"/>
          </w:tcPr>
          <w:p>
            <w:pPr>
              <w:jc w:val="right"/>
              <w:ind w:right="305"/>
              <w:spacing w:after="0"/>
              <w:rPr>
                <w:sz w:val="20"/>
                <w:szCs w:val="20"/>
                <w:color w:val="auto"/>
              </w:rPr>
            </w:pPr>
            <w:r>
              <w:rPr>
                <w:rFonts w:ascii="Arial" w:cs="Arial" w:eastAsia="Arial" w:hAnsi="Arial"/>
                <w:sz w:val="14"/>
                <w:szCs w:val="14"/>
                <w:color w:val="auto"/>
              </w:rPr>
              <w:t>Weighted average price</w:t>
            </w: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Weighted average price of</w:t>
            </w:r>
          </w:p>
        </w:tc>
        <w:tc>
          <w:tcPr>
            <w:tcW w:w="2320" w:type="dxa"/>
            <w:vAlign w:val="bottom"/>
          </w:tcPr>
          <w:p>
            <w:pPr>
              <w:jc w:val="right"/>
              <w:ind w:right="380"/>
              <w:spacing w:after="0"/>
              <w:rPr>
                <w:sz w:val="20"/>
                <w:szCs w:val="20"/>
                <w:color w:val="auto"/>
              </w:rPr>
            </w:pPr>
            <w:r>
              <w:rPr>
                <w:rFonts w:ascii="Arial" w:cs="Arial" w:eastAsia="Arial" w:hAnsi="Arial"/>
                <w:sz w:val="14"/>
                <w:szCs w:val="14"/>
                <w:color w:val="auto"/>
              </w:rPr>
              <w:t>Number of options</w:t>
            </w:r>
          </w:p>
        </w:tc>
        <w:tc>
          <w:tcPr>
            <w:tcW w:w="2240" w:type="dxa"/>
            <w:vAlign w:val="bottom"/>
          </w:tcPr>
          <w:p>
            <w:pPr>
              <w:jc w:val="right"/>
              <w:ind w:right="381"/>
              <w:spacing w:after="0"/>
              <w:rPr>
                <w:sz w:val="20"/>
                <w:szCs w:val="20"/>
                <w:color w:val="auto"/>
              </w:rPr>
            </w:pPr>
            <w:r>
              <w:rPr>
                <w:rFonts w:ascii="Arial" w:cs="Arial" w:eastAsia="Arial" w:hAnsi="Arial"/>
                <w:sz w:val="14"/>
                <w:szCs w:val="14"/>
                <w:color w:val="auto"/>
              </w:rPr>
              <w:t>remaining estimated</w:t>
            </w:r>
          </w:p>
        </w:tc>
        <w:tc>
          <w:tcPr>
            <w:tcW w:w="2120" w:type="dxa"/>
            <w:vAlign w:val="bottom"/>
          </w:tcPr>
          <w:p>
            <w:pPr>
              <w:jc w:val="right"/>
              <w:ind w:right="380"/>
              <w:spacing w:after="0"/>
              <w:rPr>
                <w:sz w:val="20"/>
                <w:szCs w:val="20"/>
                <w:color w:val="auto"/>
              </w:rPr>
            </w:pPr>
            <w:r>
              <w:rPr>
                <w:rFonts w:ascii="Arial" w:cs="Arial" w:eastAsia="Arial" w:hAnsi="Arial"/>
                <w:sz w:val="14"/>
                <w:szCs w:val="14"/>
                <w:color w:val="auto"/>
              </w:rPr>
              <w:t>Number of options</w:t>
            </w:r>
          </w:p>
        </w:tc>
        <w:tc>
          <w:tcPr>
            <w:tcW w:w="660" w:type="dxa"/>
            <w:vAlign w:val="bottom"/>
          </w:tcPr>
          <w:p>
            <w:pPr>
              <w:spacing w:after="0"/>
              <w:rPr>
                <w:sz w:val="14"/>
                <w:szCs w:val="14"/>
                <w:color w:val="auto"/>
              </w:rPr>
            </w:pPr>
          </w:p>
        </w:tc>
        <w:tc>
          <w:tcPr>
            <w:tcW w:w="1720" w:type="dxa"/>
            <w:vAlign w:val="bottom"/>
          </w:tcPr>
          <w:p>
            <w:pPr>
              <w:jc w:val="right"/>
              <w:ind w:right="305"/>
              <w:spacing w:after="0"/>
              <w:rPr>
                <w:sz w:val="20"/>
                <w:szCs w:val="20"/>
                <w:color w:val="auto"/>
              </w:rPr>
            </w:pPr>
            <w:r>
              <w:rPr>
                <w:rFonts w:ascii="Arial" w:cs="Arial" w:eastAsia="Arial" w:hAnsi="Arial"/>
                <w:sz w:val="14"/>
                <w:szCs w:val="14"/>
                <w:color w:val="auto"/>
              </w:rPr>
              <w:t>of outstanding and</w:t>
            </w:r>
          </w:p>
        </w:tc>
      </w:tr>
      <w:tr>
        <w:trPr>
          <w:trHeight w:val="157"/>
        </w:trPr>
        <w:tc>
          <w:tcPr>
            <w:tcW w:w="23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outstanding options</w:t>
            </w:r>
          </w:p>
        </w:tc>
        <w:tc>
          <w:tcPr>
            <w:tcW w:w="2320" w:type="dxa"/>
            <w:vAlign w:val="bottom"/>
            <w:tcBorders>
              <w:bottom w:val="single" w:sz="8" w:color="auto"/>
            </w:tcBorders>
          </w:tcPr>
          <w:p>
            <w:pPr>
              <w:jc w:val="right"/>
              <w:ind w:right="380"/>
              <w:spacing w:after="0" w:line="157" w:lineRule="exact"/>
              <w:rPr>
                <w:sz w:val="20"/>
                <w:szCs w:val="20"/>
                <w:color w:val="auto"/>
              </w:rPr>
            </w:pPr>
            <w:r>
              <w:rPr>
                <w:rFonts w:ascii="Arial" w:cs="Arial" w:eastAsia="Arial" w:hAnsi="Arial"/>
                <w:sz w:val="14"/>
                <w:szCs w:val="14"/>
                <w:color w:val="auto"/>
              </w:rPr>
              <w:t>outstanding</w:t>
            </w:r>
          </w:p>
        </w:tc>
        <w:tc>
          <w:tcPr>
            <w:tcW w:w="2240" w:type="dxa"/>
            <w:vAlign w:val="bottom"/>
            <w:tcBorders>
              <w:bottom w:val="single" w:sz="8" w:color="auto"/>
            </w:tcBorders>
          </w:tcPr>
          <w:p>
            <w:pPr>
              <w:jc w:val="right"/>
              <w:ind w:right="381"/>
              <w:spacing w:after="0" w:line="157" w:lineRule="exact"/>
              <w:rPr>
                <w:sz w:val="20"/>
                <w:szCs w:val="20"/>
                <w:color w:val="auto"/>
              </w:rPr>
            </w:pPr>
            <w:r>
              <w:rPr>
                <w:rFonts w:ascii="Arial" w:cs="Arial" w:eastAsia="Arial" w:hAnsi="Arial"/>
                <w:sz w:val="14"/>
                <w:szCs w:val="14"/>
                <w:color w:val="auto"/>
              </w:rPr>
              <w:t>life (in years)</w:t>
            </w:r>
          </w:p>
        </w:tc>
        <w:tc>
          <w:tcPr>
            <w:tcW w:w="2120" w:type="dxa"/>
            <w:vAlign w:val="bottom"/>
            <w:tcBorders>
              <w:bottom w:val="single" w:sz="8" w:color="auto"/>
            </w:tcBorders>
          </w:tcPr>
          <w:p>
            <w:pPr>
              <w:jc w:val="right"/>
              <w:ind w:right="380"/>
              <w:spacing w:after="0" w:line="157" w:lineRule="exact"/>
              <w:rPr>
                <w:sz w:val="20"/>
                <w:szCs w:val="20"/>
                <w:color w:val="auto"/>
              </w:rPr>
            </w:pPr>
            <w:r>
              <w:rPr>
                <w:rFonts w:ascii="Arial" w:cs="Arial" w:eastAsia="Arial" w:hAnsi="Arial"/>
                <w:sz w:val="14"/>
                <w:szCs w:val="14"/>
                <w:color w:val="auto"/>
              </w:rPr>
              <w:t>exercisable</w:t>
            </w:r>
          </w:p>
        </w:tc>
        <w:tc>
          <w:tcPr>
            <w:tcW w:w="6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305"/>
              <w:spacing w:after="0" w:line="157" w:lineRule="exact"/>
              <w:rPr>
                <w:sz w:val="20"/>
                <w:szCs w:val="20"/>
                <w:color w:val="auto"/>
              </w:rPr>
            </w:pPr>
            <w:r>
              <w:rPr>
                <w:rFonts w:ascii="Arial" w:cs="Arial" w:eastAsia="Arial" w:hAnsi="Arial"/>
                <w:sz w:val="14"/>
                <w:szCs w:val="14"/>
                <w:color w:val="auto"/>
              </w:rPr>
              <w:t>exercisable options</w:t>
            </w:r>
          </w:p>
        </w:tc>
      </w:tr>
      <w:tr>
        <w:trPr>
          <w:trHeight w:val="183"/>
        </w:trPr>
        <w:tc>
          <w:tcPr>
            <w:tcW w:w="2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$0.10</w:t>
            </w:r>
          </w:p>
        </w:tc>
        <w:tc>
          <w:tcPr>
            <w:tcW w:w="2320" w:type="dxa"/>
            <w:vAlign w:val="bottom"/>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90,000</w:t>
            </w:r>
          </w:p>
        </w:tc>
        <w:tc>
          <w:tcPr>
            <w:tcW w:w="2240" w:type="dxa"/>
            <w:vAlign w:val="bottom"/>
            <w:shd w:val="clear" w:color="auto" w:fill="CCEEFF"/>
          </w:tcPr>
          <w:p>
            <w:pPr>
              <w:jc w:val="right"/>
              <w:ind w:right="381"/>
              <w:spacing w:after="0" w:line="183" w:lineRule="exact"/>
              <w:rPr>
                <w:sz w:val="20"/>
                <w:szCs w:val="20"/>
                <w:color w:val="auto"/>
              </w:rPr>
            </w:pPr>
            <w:r>
              <w:rPr>
                <w:rFonts w:ascii="Arial" w:cs="Arial" w:eastAsia="Arial" w:hAnsi="Arial"/>
                <w:sz w:val="16"/>
                <w:szCs w:val="16"/>
                <w:color w:val="auto"/>
              </w:rPr>
              <w:t>5.4</w:t>
            </w:r>
          </w:p>
        </w:tc>
        <w:tc>
          <w:tcPr>
            <w:tcW w:w="2120" w:type="dxa"/>
            <w:vAlign w:val="bottom"/>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90,000</w:t>
            </w:r>
          </w:p>
        </w:tc>
        <w:tc>
          <w:tcPr>
            <w:tcW w:w="6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$0.11</w:t>
            </w:r>
          </w:p>
        </w:tc>
        <w:tc>
          <w:tcPr>
            <w:tcW w:w="2320" w:type="dxa"/>
            <w:vAlign w:val="bottom"/>
          </w:tcPr>
          <w:p>
            <w:pPr>
              <w:jc w:val="right"/>
              <w:ind w:right="380"/>
              <w:spacing w:after="0"/>
              <w:rPr>
                <w:sz w:val="20"/>
                <w:szCs w:val="20"/>
                <w:color w:val="auto"/>
              </w:rPr>
            </w:pPr>
            <w:r>
              <w:rPr>
                <w:rFonts w:ascii="Arial" w:cs="Arial" w:eastAsia="Arial" w:hAnsi="Arial"/>
                <w:sz w:val="16"/>
                <w:szCs w:val="16"/>
                <w:color w:val="auto"/>
              </w:rPr>
              <w:t>2,665,000</w:t>
            </w:r>
          </w:p>
        </w:tc>
        <w:tc>
          <w:tcPr>
            <w:tcW w:w="2240" w:type="dxa"/>
            <w:vAlign w:val="bottom"/>
          </w:tcPr>
          <w:p>
            <w:pPr>
              <w:jc w:val="right"/>
              <w:ind w:right="381"/>
              <w:spacing w:after="0"/>
              <w:rPr>
                <w:sz w:val="20"/>
                <w:szCs w:val="20"/>
                <w:color w:val="auto"/>
              </w:rPr>
            </w:pPr>
            <w:r>
              <w:rPr>
                <w:rFonts w:ascii="Arial" w:cs="Arial" w:eastAsia="Arial" w:hAnsi="Arial"/>
                <w:sz w:val="16"/>
                <w:szCs w:val="16"/>
                <w:color w:val="auto"/>
              </w:rPr>
              <w:t>5.5</w:t>
            </w:r>
          </w:p>
        </w:tc>
        <w:tc>
          <w:tcPr>
            <w:tcW w:w="2120" w:type="dxa"/>
            <w:vAlign w:val="bottom"/>
          </w:tcPr>
          <w:p>
            <w:pPr>
              <w:jc w:val="right"/>
              <w:ind w:right="380"/>
              <w:spacing w:after="0"/>
              <w:rPr>
                <w:sz w:val="20"/>
                <w:szCs w:val="20"/>
                <w:color w:val="auto"/>
              </w:rPr>
            </w:pPr>
            <w:r>
              <w:rPr>
                <w:rFonts w:ascii="Arial" w:cs="Arial" w:eastAsia="Arial" w:hAnsi="Arial"/>
                <w:sz w:val="16"/>
                <w:szCs w:val="16"/>
                <w:color w:val="auto"/>
              </w:rPr>
              <w:t>2,665,000</w:t>
            </w: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$0.12</w:t>
            </w:r>
          </w:p>
        </w:tc>
        <w:tc>
          <w:tcPr>
            <w:tcW w:w="2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24,000</w:t>
            </w:r>
          </w:p>
        </w:tc>
        <w:tc>
          <w:tcPr>
            <w:tcW w:w="2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8.5</w:t>
            </w:r>
          </w:p>
        </w:tc>
        <w:tc>
          <w:tcPr>
            <w:tcW w:w="21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24,000</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$0.23</w:t>
            </w:r>
          </w:p>
        </w:tc>
        <w:tc>
          <w:tcPr>
            <w:tcW w:w="2320" w:type="dxa"/>
            <w:vAlign w:val="bottom"/>
          </w:tcPr>
          <w:p>
            <w:pPr>
              <w:jc w:val="right"/>
              <w:ind w:right="380"/>
              <w:spacing w:after="0"/>
              <w:rPr>
                <w:sz w:val="20"/>
                <w:szCs w:val="20"/>
                <w:color w:val="auto"/>
              </w:rPr>
            </w:pPr>
            <w:r>
              <w:rPr>
                <w:rFonts w:ascii="Arial" w:cs="Arial" w:eastAsia="Arial" w:hAnsi="Arial"/>
                <w:sz w:val="16"/>
                <w:szCs w:val="16"/>
                <w:color w:val="auto"/>
              </w:rPr>
              <w:t>773,500</w:t>
            </w:r>
          </w:p>
        </w:tc>
        <w:tc>
          <w:tcPr>
            <w:tcW w:w="2240" w:type="dxa"/>
            <w:vAlign w:val="bottom"/>
          </w:tcPr>
          <w:p>
            <w:pPr>
              <w:jc w:val="right"/>
              <w:ind w:right="381"/>
              <w:spacing w:after="0"/>
              <w:rPr>
                <w:sz w:val="20"/>
                <w:szCs w:val="20"/>
                <w:color w:val="auto"/>
              </w:rPr>
            </w:pPr>
            <w:r>
              <w:rPr>
                <w:rFonts w:ascii="Arial" w:cs="Arial" w:eastAsia="Arial" w:hAnsi="Arial"/>
                <w:sz w:val="16"/>
                <w:szCs w:val="16"/>
                <w:color w:val="auto"/>
              </w:rPr>
              <w:t>7.0</w:t>
            </w:r>
          </w:p>
        </w:tc>
        <w:tc>
          <w:tcPr>
            <w:tcW w:w="2120" w:type="dxa"/>
            <w:vAlign w:val="bottom"/>
          </w:tcPr>
          <w:p>
            <w:pPr>
              <w:jc w:val="right"/>
              <w:ind w:right="380"/>
              <w:spacing w:after="0"/>
              <w:rPr>
                <w:sz w:val="20"/>
                <w:szCs w:val="20"/>
                <w:color w:val="auto"/>
              </w:rPr>
            </w:pPr>
            <w:r>
              <w:rPr>
                <w:rFonts w:ascii="Arial" w:cs="Arial" w:eastAsia="Arial" w:hAnsi="Arial"/>
                <w:sz w:val="16"/>
                <w:szCs w:val="16"/>
                <w:color w:val="auto"/>
              </w:rPr>
              <w:t>773,500</w:t>
            </w: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$0.25</w:t>
            </w:r>
          </w:p>
        </w:tc>
        <w:tc>
          <w:tcPr>
            <w:tcW w:w="2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500,000</w:t>
            </w:r>
          </w:p>
        </w:tc>
        <w:tc>
          <w:tcPr>
            <w:tcW w:w="2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9.3</w:t>
            </w:r>
          </w:p>
        </w:tc>
        <w:tc>
          <w:tcPr>
            <w:tcW w:w="21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0</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$0.32</w:t>
            </w:r>
          </w:p>
        </w:tc>
        <w:tc>
          <w:tcPr>
            <w:tcW w:w="2320" w:type="dxa"/>
            <w:vAlign w:val="bottom"/>
          </w:tcPr>
          <w:p>
            <w:pPr>
              <w:jc w:val="right"/>
              <w:ind w:right="380"/>
              <w:spacing w:after="0"/>
              <w:rPr>
                <w:sz w:val="20"/>
                <w:szCs w:val="20"/>
                <w:color w:val="auto"/>
              </w:rPr>
            </w:pPr>
            <w:r>
              <w:rPr>
                <w:rFonts w:ascii="Arial" w:cs="Arial" w:eastAsia="Arial" w:hAnsi="Arial"/>
                <w:sz w:val="16"/>
                <w:szCs w:val="16"/>
                <w:color w:val="auto"/>
              </w:rPr>
              <w:t>24,000</w:t>
            </w:r>
          </w:p>
        </w:tc>
        <w:tc>
          <w:tcPr>
            <w:tcW w:w="2240" w:type="dxa"/>
            <w:vAlign w:val="bottom"/>
          </w:tcPr>
          <w:p>
            <w:pPr>
              <w:jc w:val="right"/>
              <w:ind w:right="381"/>
              <w:spacing w:after="0"/>
              <w:rPr>
                <w:sz w:val="20"/>
                <w:szCs w:val="20"/>
                <w:color w:val="auto"/>
              </w:rPr>
            </w:pPr>
            <w:r>
              <w:rPr>
                <w:rFonts w:ascii="Arial" w:cs="Arial" w:eastAsia="Arial" w:hAnsi="Arial"/>
                <w:sz w:val="16"/>
                <w:szCs w:val="16"/>
                <w:color w:val="auto"/>
              </w:rPr>
              <w:t>6.8</w:t>
            </w:r>
          </w:p>
        </w:tc>
        <w:tc>
          <w:tcPr>
            <w:tcW w:w="2120" w:type="dxa"/>
            <w:vAlign w:val="bottom"/>
          </w:tcPr>
          <w:p>
            <w:pPr>
              <w:jc w:val="right"/>
              <w:ind w:right="380"/>
              <w:spacing w:after="0"/>
              <w:rPr>
                <w:sz w:val="20"/>
                <w:szCs w:val="20"/>
                <w:color w:val="auto"/>
              </w:rPr>
            </w:pPr>
            <w:r>
              <w:rPr>
                <w:rFonts w:ascii="Arial" w:cs="Arial" w:eastAsia="Arial" w:hAnsi="Arial"/>
                <w:sz w:val="16"/>
                <w:szCs w:val="16"/>
                <w:color w:val="auto"/>
              </w:rPr>
              <w:t>24,000</w:t>
            </w: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$0.33</w:t>
            </w:r>
          </w:p>
        </w:tc>
        <w:tc>
          <w:tcPr>
            <w:tcW w:w="2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24,000</w:t>
            </w:r>
          </w:p>
        </w:tc>
        <w:tc>
          <w:tcPr>
            <w:tcW w:w="2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4.5</w:t>
            </w:r>
          </w:p>
        </w:tc>
        <w:tc>
          <w:tcPr>
            <w:tcW w:w="21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24,000</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$0.35</w:t>
            </w:r>
          </w:p>
        </w:tc>
        <w:tc>
          <w:tcPr>
            <w:tcW w:w="2320" w:type="dxa"/>
            <w:vAlign w:val="bottom"/>
          </w:tcPr>
          <w:p>
            <w:pPr>
              <w:jc w:val="right"/>
              <w:ind w:right="380"/>
              <w:spacing w:after="0"/>
              <w:rPr>
                <w:sz w:val="20"/>
                <w:szCs w:val="20"/>
                <w:color w:val="auto"/>
              </w:rPr>
            </w:pPr>
            <w:r>
              <w:rPr>
                <w:rFonts w:ascii="Arial" w:cs="Arial" w:eastAsia="Arial" w:hAnsi="Arial"/>
                <w:sz w:val="16"/>
                <w:szCs w:val="16"/>
                <w:color w:val="auto"/>
              </w:rPr>
              <w:t>72,000</w:t>
            </w:r>
          </w:p>
        </w:tc>
        <w:tc>
          <w:tcPr>
            <w:tcW w:w="2240" w:type="dxa"/>
            <w:vAlign w:val="bottom"/>
          </w:tcPr>
          <w:p>
            <w:pPr>
              <w:jc w:val="right"/>
              <w:ind w:right="381"/>
              <w:spacing w:after="0"/>
              <w:rPr>
                <w:sz w:val="20"/>
                <w:szCs w:val="20"/>
                <w:color w:val="auto"/>
              </w:rPr>
            </w:pPr>
            <w:r>
              <w:rPr>
                <w:rFonts w:ascii="Arial" w:cs="Arial" w:eastAsia="Arial" w:hAnsi="Arial"/>
                <w:sz w:val="16"/>
                <w:szCs w:val="16"/>
                <w:color w:val="auto"/>
              </w:rPr>
              <w:t>9.5</w:t>
            </w:r>
          </w:p>
        </w:tc>
        <w:tc>
          <w:tcPr>
            <w:tcW w:w="2120" w:type="dxa"/>
            <w:vAlign w:val="bottom"/>
          </w:tcPr>
          <w:p>
            <w:pPr>
              <w:jc w:val="right"/>
              <w:ind w:right="380"/>
              <w:spacing w:after="0"/>
              <w:rPr>
                <w:sz w:val="20"/>
                <w:szCs w:val="20"/>
                <w:color w:val="auto"/>
              </w:rPr>
            </w:pPr>
            <w:r>
              <w:rPr>
                <w:rFonts w:ascii="Arial" w:cs="Arial" w:eastAsia="Arial" w:hAnsi="Arial"/>
                <w:sz w:val="16"/>
                <w:szCs w:val="16"/>
                <w:color w:val="auto"/>
              </w:rPr>
              <w:t>0</w:t>
            </w: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$0.40</w:t>
            </w:r>
          </w:p>
        </w:tc>
        <w:tc>
          <w:tcPr>
            <w:tcW w:w="2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2,375,000</w:t>
            </w:r>
          </w:p>
        </w:tc>
        <w:tc>
          <w:tcPr>
            <w:tcW w:w="2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1.5</w:t>
            </w:r>
          </w:p>
        </w:tc>
        <w:tc>
          <w:tcPr>
            <w:tcW w:w="21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2,375,000</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89"/>
        </w:trPr>
        <w:tc>
          <w:tcPr>
            <w:tcW w:w="2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$0.65</w:t>
            </w:r>
          </w:p>
        </w:tc>
        <w:tc>
          <w:tcPr>
            <w:tcW w:w="2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76,500</w:t>
            </w:r>
          </w:p>
        </w:tc>
        <w:tc>
          <w:tcPr>
            <w:tcW w:w="2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3.5</w:t>
            </w:r>
          </w:p>
        </w:tc>
        <w:tc>
          <w:tcPr>
            <w:tcW w:w="21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76,500</w:t>
            </w: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190"/>
        </w:trPr>
        <w:tc>
          <w:tcPr>
            <w:tcW w:w="2360" w:type="dxa"/>
            <w:vAlign w:val="bottom"/>
            <w:tcBorders>
              <w:bottom w:val="single" w:sz="8" w:color="auto"/>
            </w:tcBorders>
            <w:shd w:val="clear" w:color="auto" w:fill="CCEEFF"/>
          </w:tcPr>
          <w:p>
            <w:pPr>
              <w:spacing w:after="0"/>
              <w:rPr>
                <w:sz w:val="16"/>
                <w:szCs w:val="16"/>
                <w:color w:val="auto"/>
              </w:rPr>
            </w:pPr>
          </w:p>
        </w:tc>
        <w:tc>
          <w:tcPr>
            <w:tcW w:w="2320" w:type="dxa"/>
            <w:vAlign w:val="bottom"/>
            <w:tcBorders>
              <w:bottom w:val="single" w:sz="8" w:color="auto"/>
            </w:tcBorders>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6,624,000</w:t>
            </w:r>
          </w:p>
        </w:tc>
        <w:tc>
          <w:tcPr>
            <w:tcW w:w="224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6,052,000</w:t>
            </w:r>
          </w:p>
        </w:tc>
        <w:tc>
          <w:tcPr>
            <w:tcW w:w="660" w:type="dxa"/>
            <w:vAlign w:val="bottom"/>
            <w:tcBorders>
              <w:bottom w:val="single" w:sz="8" w:color="auto"/>
            </w:tcBorders>
            <w:shd w:val="clear" w:color="auto" w:fill="CCEEFF"/>
          </w:tcPr>
          <w:p>
            <w:pPr>
              <w:jc w:val="right"/>
              <w:ind w:right="23"/>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05"/>
              <w:spacing w:after="0" w:line="183" w:lineRule="exact"/>
              <w:rPr>
                <w:sz w:val="20"/>
                <w:szCs w:val="20"/>
                <w:color w:val="auto"/>
              </w:rPr>
            </w:pPr>
            <w:r>
              <w:rPr>
                <w:rFonts w:ascii="Arial" w:cs="Arial" w:eastAsia="Arial" w:hAnsi="Arial"/>
                <w:sz w:val="16"/>
                <w:szCs w:val="16"/>
                <w:color w:val="auto"/>
              </w:rPr>
              <w:t>0.25</w:t>
            </w:r>
          </w:p>
        </w:tc>
      </w:tr>
    </w:tbl>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Unless otherwise indicated, options issued to employees, members of the Board of Directors and non-employees are vested over one to three years and are exercisable for a term of ten years from the date of issuance.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F-25</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stock options granted in 2013 was $0.27 (2012: $0.12; 2011: $0.21). The total intrinsic value of options exercised in 2013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$3,254 (2012: $nil; 2011: $54,218). At 31 December 2013, the total intrinsic value of all options outstanding was $3,756,724 (2012: $681,029) and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total intrinsic value of exercisable options was $3,440,172 (2012: $622,140).</w:t>
      </w:r>
    </w:p>
    <w:p>
      <w:pPr>
        <w:spacing w:after="0" w:line="11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market values of stock option grants/modifications to employees, members of the Board of Directors and non-employees during 2013, 2012 and 2011 were measured on the date of grant/modification using Black-Scholes, with the following weighted average assumptions: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2013</w:t>
            </w:r>
          </w:p>
        </w:tc>
        <w:tc>
          <w:tcPr>
            <w:tcW w:w="14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2012</w:t>
            </w:r>
          </w:p>
        </w:tc>
        <w:tc>
          <w:tcPr>
            <w:tcW w:w="12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2011</w:t>
            </w:r>
          </w:p>
        </w:tc>
      </w:tr>
      <w:tr>
        <w:trPr>
          <w:trHeight w:val="183"/>
        </w:trPr>
        <w:tc>
          <w:tcPr>
            <w:tcW w:w="47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Expected volatility</w:t>
            </w:r>
          </w:p>
        </w:tc>
        <w:tc>
          <w:tcPr>
            <w:tcW w:w="3960" w:type="dxa"/>
            <w:vAlign w:val="bottom"/>
            <w:shd w:val="clear" w:color="auto" w:fill="CCEEFF"/>
          </w:tcPr>
          <w:p>
            <w:pPr>
              <w:jc w:val="right"/>
              <w:ind w:right="441"/>
              <w:spacing w:after="0" w:line="183" w:lineRule="exact"/>
              <w:rPr>
                <w:sz w:val="20"/>
                <w:szCs w:val="20"/>
                <w:color w:val="auto"/>
              </w:rPr>
            </w:pPr>
            <w:r>
              <w:rPr>
                <w:rFonts w:ascii="Arial" w:cs="Arial" w:eastAsia="Arial" w:hAnsi="Arial"/>
                <w:sz w:val="16"/>
                <w:szCs w:val="16"/>
                <w:b w:val="1"/>
                <w:bCs w:val="1"/>
                <w:color w:val="auto"/>
              </w:rPr>
              <w:t>160%</w:t>
            </w:r>
          </w:p>
        </w:tc>
        <w:tc>
          <w:tcPr>
            <w:tcW w:w="1480" w:type="dxa"/>
            <w:vAlign w:val="bottom"/>
            <w:shd w:val="clear" w:color="auto" w:fill="CCEEFF"/>
          </w:tcPr>
          <w:p>
            <w:pPr>
              <w:jc w:val="right"/>
              <w:ind w:right="421"/>
              <w:spacing w:after="0" w:line="183" w:lineRule="exact"/>
              <w:rPr>
                <w:sz w:val="20"/>
                <w:szCs w:val="20"/>
                <w:color w:val="auto"/>
              </w:rPr>
            </w:pPr>
            <w:r>
              <w:rPr>
                <w:rFonts w:ascii="Arial" w:cs="Arial" w:eastAsia="Arial" w:hAnsi="Arial"/>
                <w:sz w:val="16"/>
                <w:szCs w:val="16"/>
                <w:color w:val="auto"/>
              </w:rPr>
              <w:t>160%</w:t>
            </w:r>
          </w:p>
        </w:tc>
        <w:tc>
          <w:tcPr>
            <w:tcW w:w="1280" w:type="dxa"/>
            <w:vAlign w:val="bottom"/>
            <w:shd w:val="clear" w:color="auto" w:fill="CCEEFF"/>
          </w:tcPr>
          <w:p>
            <w:pPr>
              <w:jc w:val="right"/>
              <w:ind w:right="221"/>
              <w:spacing w:after="0" w:line="183" w:lineRule="exact"/>
              <w:rPr>
                <w:sz w:val="20"/>
                <w:szCs w:val="20"/>
                <w:color w:val="auto"/>
              </w:rPr>
            </w:pPr>
            <w:r>
              <w:rPr>
                <w:rFonts w:ascii="Arial" w:cs="Arial" w:eastAsia="Arial" w:hAnsi="Arial"/>
                <w:sz w:val="16"/>
                <w:szCs w:val="16"/>
                <w:color w:val="auto"/>
              </w:rPr>
              <w:t>177%</w:t>
            </w: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960" w:type="dxa"/>
            <w:vAlign w:val="bottom"/>
          </w:tcPr>
          <w:p>
            <w:pPr>
              <w:jc w:val="right"/>
              <w:ind w:right="441"/>
              <w:spacing w:after="0"/>
              <w:rPr>
                <w:sz w:val="20"/>
                <w:szCs w:val="20"/>
                <w:color w:val="auto"/>
              </w:rPr>
            </w:pPr>
            <w:r>
              <w:rPr>
                <w:rFonts w:ascii="Arial" w:cs="Arial" w:eastAsia="Arial" w:hAnsi="Arial"/>
                <w:sz w:val="16"/>
                <w:szCs w:val="16"/>
                <w:b w:val="1"/>
                <w:bCs w:val="1"/>
                <w:color w:val="auto"/>
              </w:rPr>
              <w:t>1.05%</w:t>
            </w:r>
          </w:p>
        </w:tc>
        <w:tc>
          <w:tcPr>
            <w:tcW w:w="1480" w:type="dxa"/>
            <w:vAlign w:val="bottom"/>
          </w:tcPr>
          <w:p>
            <w:pPr>
              <w:jc w:val="right"/>
              <w:ind w:right="421"/>
              <w:spacing w:after="0"/>
              <w:rPr>
                <w:sz w:val="20"/>
                <w:szCs w:val="20"/>
                <w:color w:val="auto"/>
              </w:rPr>
            </w:pPr>
            <w:r>
              <w:rPr>
                <w:rFonts w:ascii="Arial" w:cs="Arial" w:eastAsia="Arial" w:hAnsi="Arial"/>
                <w:sz w:val="16"/>
                <w:szCs w:val="16"/>
                <w:color w:val="auto"/>
              </w:rPr>
              <w:t>0.60%</w:t>
            </w:r>
          </w:p>
        </w:tc>
        <w:tc>
          <w:tcPr>
            <w:tcW w:w="1280" w:type="dxa"/>
            <w:vAlign w:val="bottom"/>
          </w:tcPr>
          <w:p>
            <w:pPr>
              <w:jc w:val="right"/>
              <w:ind w:right="221"/>
              <w:spacing w:after="0"/>
              <w:rPr>
                <w:sz w:val="20"/>
                <w:szCs w:val="20"/>
                <w:color w:val="auto"/>
              </w:rPr>
            </w:pPr>
            <w:r>
              <w:rPr>
                <w:rFonts w:ascii="Arial" w:cs="Arial" w:eastAsia="Arial" w:hAnsi="Arial"/>
                <w:sz w:val="16"/>
                <w:szCs w:val="16"/>
                <w:color w:val="auto"/>
              </w:rPr>
              <w:t>1.98%</w:t>
            </w:r>
          </w:p>
        </w:tc>
      </w:tr>
      <w:tr>
        <w:trPr>
          <w:trHeight w:val="189"/>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3960" w:type="dxa"/>
            <w:vAlign w:val="bottom"/>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0.0%</w:t>
            </w:r>
          </w:p>
        </w:tc>
        <w:tc>
          <w:tcPr>
            <w:tcW w:w="148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0.0%</w:t>
            </w:r>
          </w:p>
        </w:tc>
        <w:tc>
          <w:tcPr>
            <w:tcW w:w="12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0.0%</w:t>
            </w:r>
          </w:p>
        </w:tc>
      </w:tr>
      <w:tr>
        <w:trPr>
          <w:trHeight w:val="215"/>
        </w:trPr>
        <w:tc>
          <w:tcPr>
            <w:tcW w:w="4700" w:type="dxa"/>
            <w:vAlign w:val="bottom"/>
          </w:tcPr>
          <w:p>
            <w:pPr>
              <w:spacing w:after="0"/>
              <w:rPr>
                <w:sz w:val="20"/>
                <w:szCs w:val="20"/>
                <w:color w:val="auto"/>
              </w:rPr>
            </w:pPr>
            <w:r>
              <w:rPr>
                <w:rFonts w:ascii="Arial" w:cs="Arial" w:eastAsia="Arial" w:hAnsi="Arial"/>
                <w:sz w:val="16"/>
                <w:szCs w:val="16"/>
                <w:color w:val="auto"/>
              </w:rPr>
              <w:t>Expected life (in years)</w:t>
            </w:r>
          </w:p>
        </w:tc>
        <w:tc>
          <w:tcPr>
            <w:tcW w:w="3960" w:type="dxa"/>
            <w:vAlign w:val="bottom"/>
          </w:tcPr>
          <w:p>
            <w:pPr>
              <w:jc w:val="right"/>
              <w:ind w:right="581"/>
              <w:spacing w:after="0"/>
              <w:rPr>
                <w:sz w:val="20"/>
                <w:szCs w:val="20"/>
                <w:color w:val="auto"/>
              </w:rPr>
            </w:pPr>
            <w:r>
              <w:rPr>
                <w:rFonts w:ascii="Arial" w:cs="Arial" w:eastAsia="Arial" w:hAnsi="Arial"/>
                <w:sz w:val="16"/>
                <w:szCs w:val="16"/>
                <w:b w:val="1"/>
                <w:bCs w:val="1"/>
                <w:color w:val="auto"/>
              </w:rPr>
              <w:t>5</w:t>
            </w:r>
          </w:p>
        </w:tc>
        <w:tc>
          <w:tcPr>
            <w:tcW w:w="1480" w:type="dxa"/>
            <w:vAlign w:val="bottom"/>
          </w:tcPr>
          <w:p>
            <w:pPr>
              <w:jc w:val="right"/>
              <w:ind w:right="581"/>
              <w:spacing w:after="0"/>
              <w:rPr>
                <w:sz w:val="20"/>
                <w:szCs w:val="20"/>
                <w:color w:val="auto"/>
              </w:rPr>
            </w:pPr>
            <w:r>
              <w:rPr>
                <w:rFonts w:ascii="Arial" w:cs="Arial" w:eastAsia="Arial" w:hAnsi="Arial"/>
                <w:sz w:val="16"/>
                <w:szCs w:val="16"/>
                <w:color w:val="auto"/>
              </w:rPr>
              <w:t>3-5</w:t>
            </w:r>
          </w:p>
        </w:tc>
        <w:tc>
          <w:tcPr>
            <w:tcW w:w="1280" w:type="dxa"/>
            <w:vAlign w:val="bottom"/>
          </w:tcPr>
          <w:p>
            <w:pPr>
              <w:jc w:val="right"/>
              <w:ind w:right="361"/>
              <w:spacing w:after="0"/>
              <w:rPr>
                <w:sz w:val="20"/>
                <w:szCs w:val="20"/>
                <w:color w:val="auto"/>
              </w:rPr>
            </w:pPr>
            <w:r>
              <w:rPr>
                <w:rFonts w:ascii="Arial" w:cs="Arial" w:eastAsia="Arial" w:hAnsi="Arial"/>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6"/>
          <w:szCs w:val="16"/>
          <w:color w:val="auto"/>
        </w:rPr>
        <w:t>The risk-free interest rate is estimated using the Federal Funds interest rate for a period that is commensurate with the expected term of the awards. The expected dividend yield is zero because the Company has never paid a dividend and does not expect to do so for the foreseeable future. The expected life was based on a number of factors including historical experience, vesting provisions, exercise price relative to market price and expected volatility. The Company believes that all groups of employees demonstrate similar exercise and post-vesting termination behavior and, therefore, does not stratify employees into multiple groups. The expected volatility was estimated using the Company’s historical price volatility over a period that is commensurate with the expected term of the awards.</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Total share-based compensation on stock-option grants amounted to $119,331 in 2013 (2012: $300,758; 2011: $225,477). At 31 December 2013, the balance of unearned share-based compensation to be expensed in future periods related to unvested share-based awards is $97,394. The period over which the unearned share-based compensation is expected to be earned is approximately three years.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issuances</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During April 2013 the Company granted options to purchase 500,000 shares of common stock to certain executive officers and employees at an exercise price of $0.25. These options vest over a one-to-three year period.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During July 2013 the Company issued 96,000 options at an exercise price of $0.35 under the terms of its service agreement with Non-executive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options vest over a one-year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During July 2012 the Company issued 72,000 options at an exercise price of $0.12 under the terms of its service agreement with Non-executive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options vest over a one-year period.</w:t>
      </w:r>
    </w:p>
    <w:p>
      <w:pPr>
        <w:spacing w:after="0" w:line="113"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At the Company’s Annual General Meeting in July 2012, the shareholders approved a 3 year extension to the exercise term on 2,375,000 options belonging to previous Company Directors which were due to expire. In conjunction with the extension, the exercise price of the options was increased from $0.20 to $0.40. The Company recognized an immediate non-cash stock-based compensation charge of $202,987 in 2012 for this extension.</w:t>
      </w:r>
    </w:p>
    <w:p>
      <w:pPr>
        <w:spacing w:after="0" w:line="9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During January 2011 the Company granted options to purchase 801,500 shares of common stock to certain executive officers and employees at an exercise price of $0.23. These options vest over a one-to-three year period.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During July 2011 the Company issued 144,000 options at an exercise price of $0.11 under the terms of its service agreement with Non-executive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options vest over a one-year period.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costs recognized in the Company’s consolidated statements of operations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 December 2013, 2012 and 2011: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2012</w:t>
            </w:r>
          </w:p>
        </w:tc>
        <w:tc>
          <w:tcPr>
            <w:tcW w:w="15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r>
      <w:tr>
        <w:trPr>
          <w:trHeight w:val="183"/>
        </w:trPr>
        <w:tc>
          <w:tcPr>
            <w:tcW w:w="5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Research and development</w:t>
            </w:r>
          </w:p>
        </w:tc>
        <w:tc>
          <w:tcPr>
            <w:tcW w:w="2680" w:type="dxa"/>
            <w:vAlign w:val="bottom"/>
            <w:shd w:val="clear" w:color="auto" w:fill="CCEEFF"/>
          </w:tcPr>
          <w:p>
            <w:pPr>
              <w:jc w:val="right"/>
              <w:ind w:right="381"/>
              <w:spacing w:after="0" w:line="183" w:lineRule="exact"/>
              <w:rPr>
                <w:sz w:val="20"/>
                <w:szCs w:val="20"/>
                <w:color w:val="auto"/>
              </w:rPr>
            </w:pPr>
            <w:r>
              <w:rPr>
                <w:rFonts w:ascii="Arial" w:cs="Arial" w:eastAsia="Arial" w:hAnsi="Arial"/>
                <w:sz w:val="16"/>
                <w:szCs w:val="16"/>
                <w:b w:val="1"/>
                <w:bCs w:val="1"/>
                <w:color w:val="auto"/>
              </w:rPr>
              <w:t>$6,454</w:t>
            </w:r>
          </w:p>
        </w:tc>
        <w:tc>
          <w:tcPr>
            <w:tcW w:w="1660" w:type="dxa"/>
            <w:vAlign w:val="bottom"/>
            <w:shd w:val="clear" w:color="auto" w:fill="CCEEFF"/>
          </w:tcPr>
          <w:p>
            <w:pPr>
              <w:jc w:val="right"/>
              <w:ind w:right="441"/>
              <w:spacing w:after="0" w:line="183" w:lineRule="exact"/>
              <w:rPr>
                <w:sz w:val="20"/>
                <w:szCs w:val="20"/>
                <w:color w:val="auto"/>
              </w:rPr>
            </w:pPr>
            <w:r>
              <w:rPr>
                <w:rFonts w:ascii="Arial" w:cs="Arial" w:eastAsia="Arial" w:hAnsi="Arial"/>
                <w:sz w:val="16"/>
                <w:szCs w:val="16"/>
                <w:color w:val="auto"/>
              </w:rPr>
              <w:t>$3,721</w:t>
            </w:r>
          </w:p>
        </w:tc>
        <w:tc>
          <w:tcPr>
            <w:tcW w:w="1540" w:type="dxa"/>
            <w:vAlign w:val="bottom"/>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$16,553</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Sales and marketing</w:t>
            </w:r>
          </w:p>
        </w:tc>
        <w:tc>
          <w:tcPr>
            <w:tcW w:w="2680" w:type="dxa"/>
            <w:vAlign w:val="bottom"/>
          </w:tcPr>
          <w:p>
            <w:pPr>
              <w:jc w:val="right"/>
              <w:ind w:right="381"/>
              <w:spacing w:after="0"/>
              <w:rPr>
                <w:sz w:val="20"/>
                <w:szCs w:val="20"/>
                <w:color w:val="auto"/>
              </w:rPr>
            </w:pPr>
            <w:r>
              <w:rPr>
                <w:rFonts w:ascii="Arial" w:cs="Arial" w:eastAsia="Arial" w:hAnsi="Arial"/>
                <w:sz w:val="16"/>
                <w:szCs w:val="16"/>
                <w:b w:val="1"/>
                <w:bCs w:val="1"/>
                <w:color w:val="auto"/>
              </w:rPr>
              <w:t>17,645</w:t>
            </w:r>
          </w:p>
        </w:tc>
        <w:tc>
          <w:tcPr>
            <w:tcW w:w="1660" w:type="dxa"/>
            <w:vAlign w:val="bottom"/>
          </w:tcPr>
          <w:p>
            <w:pPr>
              <w:jc w:val="right"/>
              <w:ind w:right="441"/>
              <w:spacing w:after="0"/>
              <w:rPr>
                <w:sz w:val="20"/>
                <w:szCs w:val="20"/>
                <w:color w:val="auto"/>
              </w:rPr>
            </w:pPr>
            <w:r>
              <w:rPr>
                <w:rFonts w:ascii="Arial" w:cs="Arial" w:eastAsia="Arial" w:hAnsi="Arial"/>
                <w:sz w:val="16"/>
                <w:szCs w:val="16"/>
                <w:color w:val="auto"/>
              </w:rPr>
              <w:t>15,104</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22,890</w:t>
            </w:r>
          </w:p>
        </w:tc>
      </w:tr>
      <w:tr>
        <w:trPr>
          <w:trHeight w:val="189"/>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68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b w:val="1"/>
                <w:bCs w:val="1"/>
                <w:color w:val="auto"/>
              </w:rPr>
              <w:t>118,044</w:t>
            </w:r>
          </w:p>
        </w:tc>
        <w:tc>
          <w:tcPr>
            <w:tcW w:w="166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305,483</w:t>
            </w:r>
          </w:p>
        </w:tc>
        <w:tc>
          <w:tcPr>
            <w:tcW w:w="15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210,120</w:t>
            </w:r>
          </w:p>
        </w:tc>
      </w:tr>
      <w:tr>
        <w:trPr>
          <w:trHeight w:val="190"/>
        </w:trPr>
        <w:tc>
          <w:tcPr>
            <w:tcW w:w="5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share-based compensation</w:t>
            </w:r>
          </w:p>
        </w:tc>
        <w:tc>
          <w:tcPr>
            <w:tcW w:w="2680" w:type="dxa"/>
            <w:vAlign w:val="bottom"/>
            <w:tcBorders>
              <w:bottom w:val="single" w:sz="8" w:color="auto"/>
            </w:tcBorders>
          </w:tcPr>
          <w:p>
            <w:pPr>
              <w:jc w:val="right"/>
              <w:ind w:right="381"/>
              <w:spacing w:after="0" w:line="183" w:lineRule="exact"/>
              <w:rPr>
                <w:sz w:val="20"/>
                <w:szCs w:val="20"/>
                <w:color w:val="auto"/>
              </w:rPr>
            </w:pPr>
            <w:r>
              <w:rPr>
                <w:rFonts w:ascii="Arial" w:cs="Arial" w:eastAsia="Arial" w:hAnsi="Arial"/>
                <w:sz w:val="16"/>
                <w:szCs w:val="16"/>
                <w:b w:val="1"/>
                <w:bCs w:val="1"/>
                <w:color w:val="auto"/>
              </w:rPr>
              <w:t>$142,143</w:t>
            </w:r>
          </w:p>
        </w:tc>
        <w:tc>
          <w:tcPr>
            <w:tcW w:w="1660" w:type="dxa"/>
            <w:vAlign w:val="bottom"/>
            <w:tcBorders>
              <w:bottom w:val="single" w:sz="8" w:color="auto"/>
            </w:tcBorders>
          </w:tcPr>
          <w:p>
            <w:pPr>
              <w:jc w:val="right"/>
              <w:ind w:right="441"/>
              <w:spacing w:after="0" w:line="183" w:lineRule="exact"/>
              <w:rPr>
                <w:sz w:val="20"/>
                <w:szCs w:val="20"/>
                <w:color w:val="auto"/>
              </w:rPr>
            </w:pPr>
            <w:r>
              <w:rPr>
                <w:rFonts w:ascii="Arial" w:cs="Arial" w:eastAsia="Arial" w:hAnsi="Arial"/>
                <w:sz w:val="16"/>
                <w:szCs w:val="16"/>
                <w:color w:val="auto"/>
              </w:rPr>
              <w:t>$324,308</w:t>
            </w:r>
          </w:p>
        </w:tc>
        <w:tc>
          <w:tcPr>
            <w:tcW w:w="1540" w:type="dxa"/>
            <w:vAlign w:val="bottom"/>
            <w:tcBorders>
              <w:bottom w:val="single" w:sz="8" w:color="auto"/>
            </w:tcBorders>
          </w:tcPr>
          <w:p>
            <w:pPr>
              <w:jc w:val="right"/>
              <w:ind w:right="260"/>
              <w:spacing w:after="0" w:line="183" w:lineRule="exact"/>
              <w:rPr>
                <w:sz w:val="20"/>
                <w:szCs w:val="20"/>
                <w:color w:val="auto"/>
              </w:rPr>
            </w:pPr>
            <w:r>
              <w:rPr>
                <w:rFonts w:ascii="Arial" w:cs="Arial" w:eastAsia="Arial" w:hAnsi="Arial"/>
                <w:sz w:val="16"/>
                <w:szCs w:val="16"/>
                <w:color w:val="auto"/>
              </w:rPr>
              <w:t>$249,563</w:t>
            </w:r>
          </w:p>
        </w:tc>
      </w:tr>
      <w:tr>
        <w:trPr>
          <w:trHeight w:val="345"/>
        </w:trPr>
        <w:tc>
          <w:tcPr>
            <w:tcW w:w="554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F-26</w:t>
            </w: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33"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As at 31 December 2013 the Company has net domestic operating loss carryforwards of approximately $8.3 million to offset future federal taxable income, which expires at various times through the year 2031. The future utilization of the net operating loss and tax credit carryforwards, however, are subject to annual use limitations based on the change in stock ownership rules of Internal Revenue Code Sections 382 and 383. The Company experienced a change in ownership under these rules during 2012 and revised its calculation of net operating loss carryforwards based on annual limitation rules. The Company also has foreign net operating loss carryforwards in the amount of approximately $4.1 million and federal R&amp;D tax credits of approximately $2.7 million at</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31 December 2013, which expire at various times through 2031. Since the Company has incurred only losses from inception and there is uncertainty related to the ultimate use of the loss carryforwards and tax credits, a valuation allowance has been recognized to offset the Company’s deferred tax assets.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the Company’s deferred tax assets and liabilities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6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2012</w:t>
            </w:r>
          </w:p>
        </w:tc>
      </w:tr>
      <w:tr>
        <w:trPr>
          <w:trHeight w:val="183"/>
        </w:trPr>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Deferred tax assets (liabilities):</w:t>
            </w:r>
          </w:p>
        </w:tc>
        <w:tc>
          <w:tcPr>
            <w:tcW w:w="34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Net operating loss carryforwards</w:t>
            </w:r>
          </w:p>
        </w:tc>
        <w:tc>
          <w:tcPr>
            <w:tcW w:w="3400" w:type="dxa"/>
            <w:vAlign w:val="bottom"/>
          </w:tcPr>
          <w:p>
            <w:pPr>
              <w:jc w:val="right"/>
              <w:ind w:right="420"/>
              <w:spacing w:after="0"/>
              <w:rPr>
                <w:sz w:val="20"/>
                <w:szCs w:val="20"/>
                <w:color w:val="auto"/>
              </w:rPr>
            </w:pPr>
            <w:r>
              <w:rPr>
                <w:rFonts w:ascii="Arial" w:cs="Arial" w:eastAsia="Arial" w:hAnsi="Arial"/>
                <w:sz w:val="16"/>
                <w:szCs w:val="16"/>
                <w:b w:val="1"/>
                <w:bCs w:val="1"/>
                <w:color w:val="auto"/>
              </w:rPr>
              <w:t>$4,571,597</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$3,653,409</w:t>
            </w: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Federal research and development tax credit carryforwards</w:t>
            </w:r>
          </w:p>
        </w:tc>
        <w:tc>
          <w:tcPr>
            <w:tcW w:w="3400" w:type="dxa"/>
            <w:vAlign w:val="bottom"/>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3,010,329</w:t>
            </w: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3,098,157</w:t>
            </w: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3400" w:type="dxa"/>
            <w:vAlign w:val="bottom"/>
          </w:tcPr>
          <w:p>
            <w:pPr>
              <w:jc w:val="right"/>
              <w:ind w:right="420"/>
              <w:spacing w:after="0"/>
              <w:rPr>
                <w:sz w:val="20"/>
                <w:szCs w:val="20"/>
                <w:color w:val="auto"/>
              </w:rPr>
            </w:pPr>
            <w:r>
              <w:rPr>
                <w:rFonts w:ascii="Arial" w:cs="Arial" w:eastAsia="Arial" w:hAnsi="Arial"/>
                <w:sz w:val="16"/>
                <w:szCs w:val="16"/>
                <w:b w:val="1"/>
                <w:bCs w:val="1"/>
                <w:color w:val="auto"/>
              </w:rPr>
              <w:t>427,454</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456,008</w:t>
            </w: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and other</w:t>
            </w:r>
          </w:p>
        </w:tc>
        <w:tc>
          <w:tcPr>
            <w:tcW w:w="3400" w:type="dxa"/>
            <w:vAlign w:val="bottom"/>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400</w:t>
            </w: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400</w:t>
            </w: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Stock options</w:t>
            </w:r>
          </w:p>
        </w:tc>
        <w:tc>
          <w:tcPr>
            <w:tcW w:w="3400" w:type="dxa"/>
            <w:vAlign w:val="bottom"/>
          </w:tcPr>
          <w:p>
            <w:pPr>
              <w:jc w:val="right"/>
              <w:ind w:right="420"/>
              <w:spacing w:after="0"/>
              <w:rPr>
                <w:sz w:val="20"/>
                <w:szCs w:val="20"/>
                <w:color w:val="auto"/>
              </w:rPr>
            </w:pPr>
            <w:r>
              <w:rPr>
                <w:rFonts w:ascii="Arial" w:cs="Arial" w:eastAsia="Arial" w:hAnsi="Arial"/>
                <w:sz w:val="16"/>
                <w:szCs w:val="16"/>
                <w:b w:val="1"/>
                <w:bCs w:val="1"/>
                <w:color w:val="auto"/>
              </w:rPr>
              <w:t>695,417</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882,600</w:t>
            </w: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Accrued royalties</w:t>
            </w:r>
          </w:p>
        </w:tc>
        <w:tc>
          <w:tcPr>
            <w:tcW w:w="3400" w:type="dxa"/>
            <w:vAlign w:val="bottom"/>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56,094</w:t>
            </w: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Accrued vacation</w:t>
            </w:r>
          </w:p>
        </w:tc>
        <w:tc>
          <w:tcPr>
            <w:tcW w:w="3400" w:type="dxa"/>
            <w:vAlign w:val="bottom"/>
          </w:tcPr>
          <w:p>
            <w:pPr>
              <w:jc w:val="right"/>
              <w:ind w:right="420"/>
              <w:spacing w:after="0"/>
              <w:rPr>
                <w:sz w:val="20"/>
                <w:szCs w:val="20"/>
                <w:color w:val="auto"/>
              </w:rPr>
            </w:pPr>
            <w:r>
              <w:rPr>
                <w:rFonts w:ascii="Arial" w:cs="Arial" w:eastAsia="Arial" w:hAnsi="Arial"/>
                <w:sz w:val="16"/>
                <w:szCs w:val="16"/>
                <w:b w:val="1"/>
                <w:bCs w:val="1"/>
                <w:color w:val="auto"/>
              </w:rPr>
              <w:t>24,708</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21,777</w:t>
            </w: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3400" w:type="dxa"/>
            <w:vAlign w:val="bottom"/>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34,475</w:t>
            </w: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Capital loss carryforwards</w:t>
            </w:r>
          </w:p>
        </w:tc>
        <w:tc>
          <w:tcPr>
            <w:tcW w:w="3400" w:type="dxa"/>
            <w:vAlign w:val="bottom"/>
          </w:tcPr>
          <w:p>
            <w:pPr>
              <w:jc w:val="right"/>
              <w:ind w:right="420"/>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63,214</w:t>
            </w:r>
          </w:p>
        </w:tc>
      </w:tr>
      <w:tr>
        <w:trPr>
          <w:trHeight w:val="189"/>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34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(164,002)</w:t>
            </w:r>
          </w:p>
        </w:tc>
        <w:tc>
          <w:tcPr>
            <w:tcW w:w="16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(136,798)</w:t>
            </w: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6"/>
                <w:szCs w:val="16"/>
                <w:color w:val="auto"/>
              </w:rPr>
              <w:t>Total deferred tax assets</w:t>
            </w:r>
          </w:p>
        </w:tc>
        <w:tc>
          <w:tcPr>
            <w:tcW w:w="3400" w:type="dxa"/>
            <w:vAlign w:val="bottom"/>
          </w:tcPr>
          <w:p>
            <w:pPr>
              <w:jc w:val="right"/>
              <w:ind w:right="420"/>
              <w:spacing w:after="0" w:line="183" w:lineRule="exact"/>
              <w:rPr>
                <w:sz w:val="20"/>
                <w:szCs w:val="20"/>
                <w:color w:val="auto"/>
              </w:rPr>
            </w:pPr>
            <w:r>
              <w:rPr>
                <w:rFonts w:ascii="Arial" w:cs="Arial" w:eastAsia="Arial" w:hAnsi="Arial"/>
                <w:sz w:val="16"/>
                <w:szCs w:val="16"/>
                <w:b w:val="1"/>
                <w:bCs w:val="1"/>
                <w:color w:val="auto"/>
              </w:rPr>
              <w:t>8,656,472</w:t>
            </w:r>
          </w:p>
        </w:tc>
        <w:tc>
          <w:tcPr>
            <w:tcW w:w="1680" w:type="dxa"/>
            <w:vAlign w:val="bottom"/>
          </w:tcPr>
          <w:p>
            <w:pPr>
              <w:jc w:val="right"/>
              <w:ind w:right="360"/>
              <w:spacing w:after="0" w:line="183" w:lineRule="exact"/>
              <w:rPr>
                <w:sz w:val="20"/>
                <w:szCs w:val="20"/>
                <w:color w:val="auto"/>
              </w:rPr>
            </w:pPr>
            <w:r>
              <w:rPr>
                <w:rFonts w:ascii="Arial" w:cs="Arial" w:eastAsia="Arial" w:hAnsi="Arial"/>
                <w:sz w:val="16"/>
                <w:szCs w:val="16"/>
                <w:color w:val="auto"/>
              </w:rPr>
              <w:t>8,038,767</w:t>
            </w:r>
          </w:p>
        </w:tc>
      </w:tr>
      <w:tr>
        <w:trPr>
          <w:trHeight w:val="189"/>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34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(8,656,472)</w:t>
            </w:r>
          </w:p>
        </w:tc>
        <w:tc>
          <w:tcPr>
            <w:tcW w:w="16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(8,038,767)</w:t>
            </w:r>
          </w:p>
        </w:tc>
      </w:tr>
      <w:tr>
        <w:trPr>
          <w:trHeight w:val="208"/>
        </w:trPr>
        <w:tc>
          <w:tcPr>
            <w:tcW w:w="634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3400" w:type="dxa"/>
            <w:vAlign w:val="bottom"/>
          </w:tcPr>
          <w:p>
            <w:pPr>
              <w:jc w:val="right"/>
              <w:ind w:right="420"/>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320"/>
        <w:spacing w:after="0" w:line="251" w:lineRule="auto"/>
        <w:rPr>
          <w:sz w:val="20"/>
          <w:szCs w:val="20"/>
          <w:color w:val="auto"/>
        </w:rPr>
      </w:pPr>
      <w:r>
        <w:rPr>
          <w:rFonts w:ascii="Arial" w:cs="Arial" w:eastAsia="Arial" w:hAnsi="Arial"/>
          <w:sz w:val="16"/>
          <w:szCs w:val="16"/>
          <w:color w:val="auto"/>
        </w:rPr>
        <w:t>The valuation allowance increased by $617,705 during 2013 and decreased by $11,036,117 during 2012. The increase in 2013 was due primarily to an increase in deferred tax assets for net operating loss carryforwards offset by a decrease in federal research and development tax credit carryforwards and capital loss carryforwards as well as a decrease in stock options. The 2012 decrease was due primarily to a decrease in deferred tax assets for expired net operating loss carryforwards.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Commitments and contingencies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commitments</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2008 the Company established a subsidiary in Panama for the purpose of conducting commercial field trials of one of its products. The Company entered into a land lease agreement for a term of five years commencing 1 October 2008. Under the terms of the lease, the Company agreed to pay for improvements to the site in lieu of rent. The Company incurred costs of $346,735 for the site improvements during 2008 and these costs were amortized to rent expense over the term of the lease. These fully amortized leasehold improvements were turned over to the landowner upon expiration of the initial lease in 2013. In June 2013, the Company entered into a new lease with the landowner to lease the site for an additional two years. Under the terms of the new lease agreement, the Company will make payments totalling $712,834 over the term of the agreement, including $316,800 representing rental payments and $396,034 representing a management fee as all management services and operational expenses of the site were turned over to the landowner. Payments are due in monthly installments and a prepayment of $180,000 was made in 2013 under the terms of the agreement.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F-27</w:t>
            </w: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In February 2012, the Company signed a one-year lease for office space in Maynard, Massachusetts for its corporate headquarters for a total of $17,901. In March 2013, this lease was extended for an additional three years at a total cost of $59,670.</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Total rent expense, including the management fee of the Panama site, under non-cancelable operating leases in 2013 was $165,170 (2012: $117,162;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$192,154). Future minimum commitments under its operating leases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31 December</w:t>
            </w:r>
          </w:p>
        </w:tc>
        <w:tc>
          <w:tcPr>
            <w:tcW w:w="4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Amount</w:t>
            </w:r>
          </w:p>
        </w:tc>
      </w:tr>
      <w:tr>
        <w:trPr>
          <w:trHeight w:val="183"/>
        </w:trPr>
        <w:tc>
          <w:tcPr>
            <w:tcW w:w="60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2014</w:t>
            </w:r>
          </w:p>
        </w:tc>
        <w:tc>
          <w:tcPr>
            <w:tcW w:w="4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1"/>
              <w:spacing w:after="0" w:line="183" w:lineRule="exact"/>
              <w:rPr>
                <w:sz w:val="20"/>
                <w:szCs w:val="20"/>
                <w:color w:val="auto"/>
              </w:rPr>
            </w:pPr>
            <w:r>
              <w:rPr>
                <w:rFonts w:ascii="Arial" w:cs="Arial" w:eastAsia="Arial" w:hAnsi="Arial"/>
                <w:sz w:val="16"/>
                <w:szCs w:val="16"/>
                <w:color w:val="auto"/>
              </w:rPr>
              <w:t>379,641</w:t>
            </w: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2015</w:t>
            </w:r>
          </w:p>
        </w:tc>
        <w:tc>
          <w:tcPr>
            <w:tcW w:w="4480" w:type="dxa"/>
            <w:vAlign w:val="bottom"/>
          </w:tcPr>
          <w:p>
            <w:pPr>
              <w:spacing w:after="0"/>
              <w:rPr>
                <w:sz w:val="16"/>
                <w:szCs w:val="16"/>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290,636</w:t>
            </w:r>
          </w:p>
        </w:tc>
      </w:tr>
      <w:tr>
        <w:trPr>
          <w:trHeight w:val="189"/>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2016</w:t>
            </w:r>
          </w:p>
        </w:tc>
        <w:tc>
          <w:tcPr>
            <w:tcW w:w="4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5,221</w:t>
            </w:r>
          </w:p>
        </w:tc>
      </w:tr>
      <w:tr>
        <w:trPr>
          <w:trHeight w:val="190"/>
        </w:trPr>
        <w:tc>
          <w:tcPr>
            <w:tcW w:w="60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Lease commitments</w:t>
            </w:r>
          </w:p>
        </w:tc>
        <w:tc>
          <w:tcPr>
            <w:tcW w:w="4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675,498</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Company was a party to a license agreement with Genesis Group, Inc. related to the Company’s transgenic fish program. Under the terms of this agreement, the Company was required to make an annual royalty payment of $25,000 or revenue-based royalty payments equal to 5% of any gross revenues generated from products that utilize the technology covered under the license agreement.</w:t>
      </w:r>
    </w:p>
    <w:p>
      <w:pPr>
        <w:spacing w:after="0" w:line="93"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No revenue-based royalty payments have been made to date. In consideration for a worldwide, royalty-free, fully paid up, sub-licensable, assignable, non-exclusive right and license to the transgenic fish technology, the Company agreed to pay to Genesis Group, Inc. a one-time payment of C$150,000 (US$140,235). This amount is included as a component of accounts payable and accrued liabilities at 31 December 2013.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Royalty obligations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discussed in Note 8, the Canadian Subsidiary is obligated to pay royalties to TPC in an amount equal to 5.2% of gross sales generated from the sale of any growth enhanced transgenic-based fin fish commercial products. Such royalties are payable until the earlier of: (i) 30 June 2014; or (ii) until cumulative royalties of C$5,750,000 have been paid. No royalty payments have been made to date.</w:t>
      </w:r>
    </w:p>
    <w:p>
      <w:pPr>
        <w:spacing w:after="0" w:line="9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discussed in Note 8, the Canadian subsidiary is obligated to pay royalties to ACOA in an amount equal to 10% of gross sales generated from the sale of any new products that are developed through the research project that is being co-funded by ACOA. This royalty is for the repayment of the funds contributed by ACOA to the Canadian Subsidiary through the AIF grant. The first scheduled repayment is 30 June 2015 and subsequent repayments are due annually until the full balance of the contributed funds is paid. Total amount outstanding at 31 December 2013 is C$2,523,963 (US$2,359,653) and the maximum amount available under the grant is C$2,871,900.</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25"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The Company has employment agreements with certain of its officers. The agreements provide for base pay and benefits, as defined. Under certain circumstances of termination, the Company must make severance payments.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 obligation</w:t>
      </w:r>
    </w:p>
    <w:p>
      <w:pPr>
        <w:spacing w:after="0" w:line="20" w:lineRule="exact"/>
        <w:rPr>
          <w:sz w:val="20"/>
          <w:szCs w:val="20"/>
          <w:color w:val="auto"/>
        </w:rPr>
      </w:pPr>
    </w:p>
    <w:p>
      <w:pPr>
        <w:ind w:right="280"/>
        <w:spacing w:after="0" w:line="204" w:lineRule="auto"/>
        <w:rPr>
          <w:sz w:val="20"/>
          <w:szCs w:val="20"/>
          <w:color w:val="auto"/>
        </w:rPr>
      </w:pPr>
      <w:r>
        <w:rPr>
          <w:rFonts w:ascii="Arial" w:cs="Arial" w:eastAsia="Arial" w:hAnsi="Arial"/>
          <w:sz w:val="16"/>
          <w:szCs w:val="16"/>
          <w:color w:val="auto"/>
        </w:rPr>
        <w:t>The Company is obligated to pay a bonus to its Chief Executive Officer of $80,062 upon the successful approval of its AquAdvantage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Salmon New Animal Drug Application by the Food and Drug Administration. The Company has recorded an accrual for this bonus as of 31 December 2013 based on management’s expectation regarding payment.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Retirement plan</w:t>
      </w:r>
    </w:p>
    <w:p>
      <w:pPr>
        <w:spacing w:after="0" w:line="133"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The Company has a savings and retirement plan for its US employees which qualifies under Section 401(k) of the Internal Revenue Code. The plan covers substantially all employees and provides for voluntary contributions by participating employees up to the maximum contribution allowed under the Internal Revenue Code. Contributions by the Company can be made, as determined by the Board of Directors, provided the amount does not exceed the maximum permitted by the Internal Revenue Code. Company contributions made and expensed in operations in connection with the plan during the year ended</w:t>
      </w:r>
    </w:p>
    <w:p>
      <w:pPr>
        <w:spacing w:after="0" w:line="2"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31 December 2013 amounted to $21,788 (2012: $24,851; 2011: $31,860). The Company also has a Registered Retirement Savings Plan for its Canadian employees. Company contributions made and expensed in operations in connection with the plan during the year ended 31 December 2013 amounted to $14,312 (2012: $13,730; 2011: $16,636).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F-28</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Contract Research Agreement</w:t>
      </w:r>
    </w:p>
    <w:p>
      <w:pPr>
        <w:spacing w:after="0" w:line="133"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In March 2012, and in connection with the restructuring (Note 1), the Company executed a contract research agreement with Tethys Aquaculture Canada Inc. (“TAC”), to provide AquaBounty with the resources required for its ongoing development needs. Under the terms of the extended agreement, TAC will provide services to the Company through 1 April 2014. Total costs incurred under the terms of this agreement amounted to $386,806 in 2013 (2012: $260,798) and is included as a component of research and development expense in the Consolidated Statements of Operations and Comprehensive Loss.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Exclusive Channel Collaboration Agreement</w:t>
      </w:r>
    </w:p>
    <w:p>
      <w:pPr>
        <w:spacing w:after="0" w:line="133"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color w:val="auto"/>
        </w:rPr>
        <w:t>In February 2013, the Company entered into an Exclusive Channel Collaboration agreement (“ECC”) with Intrexon Corporation, its majority shareholder, pursuant to which the Company will use Intrexon’s UltraVector</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and other technology platforms to develop and commercialize additional genetically modified traits in finfish for human consumption. The ECC, which can be terminated by the Company upon 90 days written notice, grants the Company a worldwide license to use specified patents and other intellectual property of Intrexon in connection with the research, development, use, importing, manufacture, sale and offer for sale of products involving DNA administered to finfish for human consumption. Such license is exclusive with respect to any clinical development, selling, offering for sale or other commercialization of developed products, and otherwise is non-exclusive.</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ECC and subject to certain exceptions, the Company is responsible for, among other things, the performance of the program, including development, commercialization and certain aspects of manufacturing developed products. Among other things, Intrexon is responsible for the costs of establishing manufacturing capabilities and facilities for the bulk manufacture of certain products developed under the program, certain other aspects of manufacturing, costs of discovery-stage research with respect to platform improvements and costs of filing, prosecution and maintenance of Intrexon’s patents.</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will pay Intrexon quarterly 16.66% of the gross profits calculated under the terms of the agreement for each developed product. The Company has likewise agreed to pay Intrexon 50% of quarterly revenue obtained from a sublicensor in the event of a sublicensing arrangement. In addition, the Company will reimburse Intrexon for the costs of certain services provided by Intrexon. Total Intrexon service costs incurred under the terms of this agreement amounted to $453,304 in 2013, of which $106,647 is included in accounts payable and accrued liabilities at 31 December 2013, and is included as a component of research and development expense in the Consolidated Statements of Operations and Comprehensive Loss.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events occurring subsequent to 31 December 2013, identifying those that are required to be disclosed as follows:</w:t>
      </w:r>
    </w:p>
    <w:p>
      <w:pPr>
        <w:spacing w:after="0" w:line="11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January 2014, the Board approved a fundraising of $10.0 million before expenses by means of a subscription for new common shares by the Company’s majority shareholder, Intrexon Corporation. The subscription price was $0.5252 per share and the aggregate number of common shares subscribed was 19,040,366. The transaction closed on 20 March 2014 with net proceeds to the Company of approximately $9.7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subsequent events that require adjustment to or disclosure in the financial statements.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b w:val="1"/>
                <w:bCs w:val="1"/>
                <w:color w:val="auto"/>
              </w:rPr>
              <w:t xml:space="preserve">AquaBounty Technologies, Inc. </w:t>
            </w:r>
            <w:r>
              <w:rPr>
                <w:rFonts w:ascii="Arial" w:cs="Arial" w:eastAsia="Arial" w:hAnsi="Arial"/>
                <w:sz w:val="16"/>
                <w:szCs w:val="16"/>
                <w:color w:val="auto"/>
              </w:rPr>
              <w:t>Financial Statements</w:t>
            </w:r>
          </w:p>
        </w:tc>
        <w:tc>
          <w:tcPr>
            <w:tcW w:w="3840" w:type="dxa"/>
            <w:vAlign w:val="bottom"/>
          </w:tcPr>
          <w:p>
            <w:pPr>
              <w:ind w:left="3520"/>
              <w:spacing w:after="0"/>
              <w:rPr>
                <w:sz w:val="20"/>
                <w:szCs w:val="20"/>
                <w:color w:val="auto"/>
              </w:rPr>
            </w:pPr>
            <w:r>
              <w:rPr>
                <w:rFonts w:ascii="Arial" w:cs="Arial" w:eastAsia="Arial" w:hAnsi="Arial"/>
                <w:sz w:val="16"/>
                <w:szCs w:val="16"/>
                <w:color w:val="auto"/>
                <w:w w:val="91"/>
              </w:rPr>
              <w:t>F-29</w:t>
            </w:r>
          </w:p>
        </w:tc>
      </w:tr>
    </w:tbl>
    <w:p>
      <w:pPr>
        <w:sectPr>
          <w:pgSz w:w="11900" w:h="16838" w:orient="portrait"/>
          <w:cols w:equalWidth="0" w:num="1">
            <w:col w:w="11380"/>
          </w:cols>
          <w:pgMar w:left="240" w:top="459" w:right="2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 xml:space="preserve">This Lease Agreement (“Agreement”) is made and entered into as of 24 August 2014 (the “Effective Date”), by and between </w:t>
      </w:r>
      <w:r>
        <w:rPr>
          <w:rFonts w:ascii="Arial" w:cs="Arial" w:eastAsia="Arial" w:hAnsi="Arial"/>
          <w:sz w:val="17"/>
          <w:szCs w:val="17"/>
          <w:b w:val="1"/>
          <w:bCs w:val="1"/>
          <w:color w:val="auto"/>
        </w:rPr>
        <w:t>LIGIA GABRIELA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SURGEON DE LAMASTUS </w:t>
      </w:r>
      <w:r>
        <w:rPr>
          <w:rFonts w:ascii="Arial" w:cs="Arial" w:eastAsia="Arial" w:hAnsi="Arial"/>
          <w:sz w:val="17"/>
          <w:szCs w:val="17"/>
          <w:color w:val="auto"/>
        </w:rPr>
        <w:t>(legal name), female, Panamanian, of legal age, widowed, with identity card No. X-XXX-XXXX (“</w:t>
      </w:r>
      <w:r>
        <w:rPr>
          <w:rFonts w:ascii="Arial" w:cs="Arial" w:eastAsia="Arial" w:hAnsi="Arial"/>
          <w:sz w:val="17"/>
          <w:szCs w:val="17"/>
          <w:b w:val="1"/>
          <w:bCs w:val="1"/>
          <w:color w:val="auto"/>
        </w:rPr>
        <w:t>LANDLORD</w:t>
      </w:r>
      <w:r>
        <w:rPr>
          <w:rFonts w:ascii="Arial" w:cs="Arial" w:eastAsia="Arial" w:hAnsi="Arial"/>
          <w:sz w:val="17"/>
          <w:szCs w:val="17"/>
          <w:color w:val="auto"/>
        </w:rPr>
        <w:t>”), on 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hand, and on the other hand, DAVID FRANK, male, American (USA), of legal age, with passport No. XXXXXXXXX, acting in name and on behalf of </w:t>
      </w:r>
      <w:r>
        <w:rPr>
          <w:rFonts w:ascii="Arial" w:cs="Arial" w:eastAsia="Arial" w:hAnsi="Arial"/>
          <w:sz w:val="17"/>
          <w:szCs w:val="17"/>
          <w:b w:val="1"/>
          <w:bCs w:val="1"/>
          <w:color w:val="auto"/>
        </w:rPr>
        <w:t>AQUA BOUNTY PANAMA, S. de R.L.</w:t>
      </w:r>
      <w:r>
        <w:rPr>
          <w:rFonts w:ascii="Arial" w:cs="Arial" w:eastAsia="Arial" w:hAnsi="Arial"/>
          <w:sz w:val="17"/>
          <w:szCs w:val="17"/>
          <w:color w:val="auto"/>
        </w:rPr>
        <w:t>, a company duly organized and existing under the laws of the Republic of Panama, registered under Microjacket</w:t>
      </w:r>
      <w:r>
        <w:rPr>
          <w:rFonts w:ascii="Arial" w:cs="Arial" w:eastAsia="Arial" w:hAnsi="Arial"/>
          <w:sz w:val="17"/>
          <w:szCs w:val="17"/>
          <w:b w:val="1"/>
          <w:bCs w:val="1"/>
          <w:color w:val="auto"/>
        </w:rPr>
        <w:t xml:space="preserve"> </w:t>
      </w:r>
      <w:r>
        <w:rPr>
          <w:rFonts w:ascii="Arial" w:cs="Arial" w:eastAsia="Arial" w:hAnsi="Arial"/>
          <w:sz w:val="17"/>
          <w:szCs w:val="17"/>
          <w:color w:val="auto"/>
        </w:rPr>
        <w:t>1017, Document 1363400 of the Mercantile Section of the Public Registry of the Republic of Panama, (“</w:t>
      </w:r>
      <w:r>
        <w:rPr>
          <w:rFonts w:ascii="Arial" w:cs="Arial" w:eastAsia="Arial" w:hAnsi="Arial"/>
          <w:sz w:val="17"/>
          <w:szCs w:val="17"/>
          <w:b w:val="1"/>
          <w:bCs w:val="1"/>
          <w:color w:val="auto"/>
        </w:rPr>
        <w:t>ABP</w:t>
      </w:r>
      <w:r>
        <w:rPr>
          <w:rFonts w:ascii="Arial" w:cs="Arial" w:eastAsia="Arial" w:hAnsi="Arial"/>
          <w:sz w:val="17"/>
          <w:szCs w:val="17"/>
          <w:color w:val="auto"/>
        </w:rPr>
        <w:t>”) duly authorized to that end, as registered before the Public Registry, (each individually a “Party” and both collectively the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WHEREAS, LUIS LAMASTUS (the “PREVIOUS OWNER”) was the owner of possessory rights over a property of approximately 21 hectares, located in Los Naranjos, District of Boquete, Province of Chiriqui, Republic of Panama (the “Property”).</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WHEREAS, the PREVIOUS OWNER and ABP subscribed a usufruct agreement (“Previous Usufruct Agreement”) regarding a portion of the Property in which ABP is developing an aquaculture project in the Parcel identified as “Aqua Bounty Panama Project” consisting of the production of genetically modified salmon (the “ABP Project”) that requires (i) the importation of AquAdvantage Salmon (“</w:t>
      </w:r>
      <w:r>
        <w:rPr>
          <w:rFonts w:ascii="Arial" w:cs="Arial" w:eastAsia="Arial" w:hAnsi="Arial"/>
          <w:sz w:val="18"/>
          <w:szCs w:val="18"/>
          <w:b w:val="1"/>
          <w:bCs w:val="1"/>
          <w:color w:val="auto"/>
        </w:rPr>
        <w:t>AAS</w:t>
      </w:r>
      <w:r>
        <w:rPr>
          <w:rFonts w:ascii="Arial" w:cs="Arial" w:eastAsia="Arial" w:hAnsi="Arial"/>
          <w:sz w:val="18"/>
          <w:szCs w:val="18"/>
          <w:color w:val="auto"/>
        </w:rPr>
        <w:t>”) eggs from the facilities of Aqua Bounty Technologies (“</w:t>
      </w:r>
      <w:r>
        <w:rPr>
          <w:rFonts w:ascii="Arial" w:cs="Arial" w:eastAsia="Arial" w:hAnsi="Arial"/>
          <w:sz w:val="18"/>
          <w:szCs w:val="18"/>
          <w:b w:val="1"/>
          <w:bCs w:val="1"/>
          <w:color w:val="auto"/>
        </w:rPr>
        <w:t>ABT</w:t>
      </w:r>
      <w:r>
        <w:rPr>
          <w:rFonts w:ascii="Arial" w:cs="Arial" w:eastAsia="Arial" w:hAnsi="Arial"/>
          <w:sz w:val="18"/>
          <w:szCs w:val="18"/>
          <w:color w:val="auto"/>
        </w:rPr>
        <w:t>”) and (ii) grow-out of the AAS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WHEREAS, the ABP Project is still in force and it requires that a temporary agreement is subscribed for ABP to continue the ABP Project.</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WHEREAS, the LANDLORD and her three daughters: Michelle Marie Lamastus Surgeon, female, Panamanian, of legal age, married, student, with identity card number X-XXX-XXX; Melissa Lynn Lamastus Surgeon, female, Panamanian, of legal age, married, financial manager, with identity card number X-XXX-XXX; and Christine Gabriela Lamastus Surgeon, female, Panamanian, of legal age, single, teacher, with identity card number X-XXX-XXX (all together the “DAUGHTERS”) are the legal heirs of the PREVIOUS OWNER (all together, the “LEGAL HEIRS OF THE PREVIOUS OWNER”).</w:t>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WHEREAS, the DAUGHTERS are herein represented by the LANDLORD, as it is evidenced on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WHEREAS, the LANDLORD and the DAUGHTERS in their condition of the only heirs of the PREVIOUS OWNER are the custodians of the Property while it is declared of their ownership by means of a judicial proceeding (“JUDICIAL PROCEEDING”) in which the LANDLORD and the DAUGHTERS shall be declared the only heirs of the PREVIOUS LANDLORD.</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WHEREAS, the Property is under the total control and use of the LANDLORD anti the DAUGHTERS, including the River Flow but for the 2.03 hectares previously given in usufruct to ABP. Furthermore, the Property is under a titling process before the National Property Administration Authority (ANATI) to obtain an official property title.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WHEREAS, the Property is adjacent to a river flow that originates from the </w:t>
      </w:r>
      <w:r>
        <w:rPr>
          <w:rFonts w:ascii="Arial" w:cs="Arial" w:eastAsia="Arial" w:hAnsi="Arial"/>
          <w:sz w:val="18"/>
          <w:szCs w:val="18"/>
          <w:i w:val="1"/>
          <w:iCs w:val="1"/>
          <w:color w:val="auto"/>
        </w:rPr>
        <w:t>Rio Caldera</w:t>
      </w:r>
      <w:r>
        <w:rPr>
          <w:rFonts w:ascii="Arial" w:cs="Arial" w:eastAsia="Arial" w:hAnsi="Arial"/>
          <w:sz w:val="18"/>
          <w:szCs w:val="18"/>
          <w:color w:val="auto"/>
        </w:rPr>
        <w:t xml:space="preserve"> (“River Flow”), with an average water flow of 95,000 gallons per minute during the rainy season, that is key for the purpose of this Agreement.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WHEREAS, the LANDLORD wishes to lease to ABP, and ABP wishes to lease from the LANDLORD, a portion of 2.03 hectares of the Property adjacent to the River Flow, that is described and depicted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that constitutes part of this Agreement (the “Parcel”).</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the LANDLORD has demonstrated that the Parcel is free and clear from any encumbrances, liens or restrictions. Furthermore, the Property is in good standing from any fees or taxes applicable from any public or private institutions.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the LANDLORD has demonstrated that there are no claims or disputes over the possessory rights and/or title rights of the LANDLORD or of any other nature on the Parcel and on the Property.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94" w:name="page95"/>
    <w:bookmarkEnd w:id="9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for purposes of the ABP Project, ABP will obtain from Aqua Bounty Technologies (“ABT”) the AAS eggs and will ship them to Panama for production.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ABP made capital investments and improvements to the Parcel during the term of the Previous Usufruct Agreement, consisting of the following (“FACILITIES AND EQUIPMENT”):</w:t>
      </w:r>
    </w:p>
    <w:p>
      <w:pPr>
        <w:spacing w:after="0" w:line="76" w:lineRule="exact"/>
        <w:rPr>
          <w:sz w:val="20"/>
          <w:szCs w:val="20"/>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buildings contained on the Parcel, including, but not limited to, the quarantine building containing the fry tanks, egg incubation system, feed warehouse and office.</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structures, including, but not limited to, the small LHO (“Low Head Oxygenator”), large LHO, concrete water intake and distribution structure, containment sump, and sedimentation pond outlet structures.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fry tanks and external grow-out tanks.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containment components, including the filters and screens, filter boxes, containment sump screens, sedimentations ponds including their outlet screens, and perimeter fencing.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Water distribution components, including river and spring water intakes, pipes, drainage canal, and sedimentation ponds.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Electrical generation system, including the solar panels, hydroelectric turbine, and associated electrical transmission and storage components.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in furtherance of this ABP Project, ABP wishes to obtain from the LANDLORD, and the LANDLORD wishes to provide to ABP access to and unrestricted use of the Parcel in order for ABP to operate the ABP Project.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NOW, THEREFORE, in consideration of the premises described above, and of the mutual benefits and obligations set forth in this Agreement, the Parties hereto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Recitals set forth above are material to this Agreement and are hereby expressly incorporated herein.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LANDLORD hereby leases to ABP the following:</w:t>
      </w:r>
    </w:p>
    <w:p>
      <w:pPr>
        <w:spacing w:after="0" w:line="12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Parcel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all its inherent benefits.</w:t>
      </w:r>
    </w:p>
    <w:p>
      <w:pPr>
        <w:spacing w:after="0" w:line="134"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River Flow and spring water adjacent to the Parcel.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 PARCEL AND WATER 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 ABP shall only use the Parcel for activities related to the ABP Project.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ABP shall use me Parcel with the diligence of a good </w:t>
      </w:r>
      <w:r>
        <w:rPr>
          <w:rFonts w:ascii="Arial" w:cs="Arial" w:eastAsia="Arial" w:hAnsi="Arial"/>
          <w:sz w:val="17"/>
          <w:szCs w:val="17"/>
          <w:i w:val="1"/>
          <w:iCs w:val="1"/>
          <w:color w:val="auto"/>
        </w:rPr>
        <w:t>pater familias</w:t>
      </w:r>
      <w:r>
        <w:rPr>
          <w:rFonts w:ascii="Arial" w:cs="Arial" w:eastAsia="Arial" w:hAnsi="Arial"/>
          <w:sz w:val="17"/>
          <w:szCs w:val="17"/>
          <w:color w:val="auto"/>
        </w:rPr>
        <w:t xml:space="preserve"> and shall not knowingly allow the Parcel to be used for any unlawful purpose.</w:t>
      </w:r>
    </w:p>
    <w:p>
      <w:pPr>
        <w:spacing w:after="0" w:line="2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2.3 ABP shall make any additional improvements that it deems convenient and/or necessary to develop the ABP Project without the approval of the LANDLORD.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2.4 Unless there is a cause that originates from Acts of God, the ABP Project will have access to the River Flow and to spring water at the same volumes that are currently in use in the ABP Project and in no event shall these volumes be lower than 2170 gallons per minute of river water for the growout tanks and 130 gallons per minute of spring water for the fry tanks.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2.5 The water distribution system of the ABP Project will be managed by ABP. The LANDLORD will not diminish, increase or in any way endanger the water levels in the ABP Project’s drainage canal and sedimentation ponds without the written consent of ABP. The LANDLORD in no way will contaminate the waters of the ABP Project.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2.6 In the event that the LANDLORD develops production facilities that require water use in her portion of the Property, ABP shall share with the LANDLORD, without any cost to the LANDLORD, a portion of the water flow contained in the water distribution system only if the water requirements for the ABP Project are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 TERM</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3.1 The term of this Agreement shall be one (1) year as of the Effective Date (“Term”) and shall be renewed by equal terms at the exclusive option of ABP. Shall a final judicial decision within the JUDICIAL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96" w:name="page97"/>
    <w:bookmarkEnd w:id="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declaring the LANDLORD and the DAUGHTERS THE LEGAL HEIRS OF THE PREVIOUS OWNER is made before the Term, this Agreement shall be terminated without previous notice and/or judicial authorization and a new Agreement, in the terms of EXHIBIT D, shall be signed by the Parties. Also, shall a final judicial decision within the JUDICIAL PROCEEDING is made without declaring the LANDLORD and the DAUGHTERS the only LEGAL HEIRS OF THE PREVIOUS OWNER but including additional heirs of the PREVIOUS OWNER (the “ADDITIONAL HEIRS”), the LANDLORD, THE DAUGHTERS and ABP will sign a new Agreement, in the terms of EXHIBIT C, in which the ADDITIONAL HEIRS will be included. Shall the ADDITIONAL HEIRS do not wish to sign the new Agreement in the terms of EXHIBIT D, this Agreement shall be terminated without previous notice and/or judicial authorization.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 LANDLORD OBLIGATIONS AND PROHIBITIONS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4.1 The LANDLORD shall guarantee ABP the peaceful and uninterrupted use of the Parcel.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 The LANDLORD shall make any repair that is needed to preserve the Parcel for the use of ABP for the purposes herein established.</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4.3 The LANDLORD shall not impose any liens or restrictions for the use of the Property during the Term of this Agreement. Shall the LANDLORD sell or transfer his possessory rights over the Property, the contract covering the sale or transfer of the possessory rights over the Property to the new owner shall include the duty of the new owner to respect this Agreement. In any case, ABP has the right to exercise any actions that it deems convenient or necessary to guarantee that the Parcel, the equipment and the improvements are free and clear from any liens or restriction of use.</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4.4 The LANDLORD agrees not to modify or interfere with any of the existing AAS production facilities, containment, and/or water distribution systems of the ABP Project without prior written authorization of ABP and/or ABT. The LANDLORD will not jeopardize, negatively impact or increase effluent flow into the ABP Project drainage canal and sedimentation ponds without the written authorization of ABP. The LANDLORD has knowledge that any unauthorized change to the facilities of the ABP Project that were previously inspected by the FDA could jeopardize ABT’s Food and Drug Administration (FDA) application.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 LANDLORD RIGHTS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5.1 The LANDLORD is permitted to build on the Property outside the borders of the Parcel, in accordance with the Property borders established in EXHIBIT A, as long as the construction and new infrastructure does not impede the development of the ABP Project, damages or interferes with (i) the existing ABP Project infrastructure; (ii) the FACILITIES and EQUIPMENT; (iii) containment elements and/or (iv) the River Flow and spring water used in the ABP Project and the effluent. The LANDLORD must advise ABP in writing before making any constructions or additions to the infrastructure of the ABP Project for ABP and shall await for ABP to authorize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5.2 The LANDLORD has the right to receive technical assistance from ABP when needed.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ABP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6.1 ABP shall provide the LANDLORD with the monthly payment described in Article 8.1 of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7. ABP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7.1 ABP has the right to:</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the ABP Project at any time without prior notice to the LANDLORD.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its technical and management parameters on the management of the ABP Project to guarantee the survival, performance, and production of the AAS.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PAYMENT</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8.1 ABP agrees to pay the LANDLORD a total fee of </w:t>
      </w:r>
      <w:r>
        <w:rPr>
          <w:rFonts w:ascii="Arial" w:cs="Arial" w:eastAsia="Arial" w:hAnsi="Arial"/>
          <w:sz w:val="18"/>
          <w:szCs w:val="18"/>
          <w:b w:val="1"/>
          <w:bCs w:val="1"/>
          <w:color w:val="auto"/>
        </w:rPr>
        <w:t>US$180,000.00</w:t>
      </w:r>
      <w:r>
        <w:rPr>
          <w:rFonts w:ascii="Arial" w:cs="Arial" w:eastAsia="Arial" w:hAnsi="Arial"/>
          <w:sz w:val="18"/>
          <w:szCs w:val="18"/>
          <w:color w:val="auto"/>
        </w:rPr>
        <w:t xml:space="preserve"> over the term of the lease (the FEE), which covers all of the costs for the lease of the Parcel, which is US$15,000 per month.</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8.2 The monthly lease fee described in Article 8.1 will be discounted by US$1,800 per month for the first twelve (12) months of the term of this Agreement so that the LANDLORD can repay ABP the US$21,600 associated with the August 2014 INASA trout feed order (400 </w:t>
      </w:r>
      <w:r>
        <w:rPr>
          <w:rFonts w:ascii="Arial" w:cs="Arial" w:eastAsia="Arial" w:hAnsi="Arial"/>
          <w:sz w:val="18"/>
          <w:szCs w:val="18"/>
          <w:i w:val="1"/>
          <w:iCs w:val="1"/>
          <w:color w:val="auto"/>
        </w:rPr>
        <w:t>quintales</w:t>
      </w:r>
      <w:r>
        <w:rPr>
          <w:rFonts w:ascii="Arial" w:cs="Arial" w:eastAsia="Arial" w:hAnsi="Arial"/>
          <w:sz w:val="18"/>
          <w:szCs w:val="18"/>
          <w:color w:val="auto"/>
        </w:rPr>
        <w:t>) which ABP purchased on the LANDLORD’S behalf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 The FEE shall be transferred to the following bank account designated by the LANDLORD within the first ten (10) days of every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LIGIA GABRIELA SURGEON DE LAMASTUS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 # XX-XXX-XXXXX-X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New York 10043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Wall Street,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BANK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 GLBLPAPA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5056 Victoriano Lorenzo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 REPUBLIC OF PANAMA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9. LEGAL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9.1 In the event that Panamanian legal counsel is required to defend the ABP Project against litigations or claims, ABP will assume the legal expenses if the litigation or claim arise out of (i) reasons not attributable to the LANDORD; and/or (ii) reasons attributable to the ABP Project or the AAS eggs. However, if the litigation or claim is a result of (i) a direct or indirect action of the LANDLORD, (ii) dispute on possessory rights on the Property and/or (iii) inheritance rights involving the Property, then the LANDLORD will bear said legal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PRODUCT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Product ownership</w:t>
      </w:r>
      <w:r>
        <w:rPr>
          <w:rFonts w:ascii="Arial" w:cs="Arial" w:eastAsia="Arial" w:hAnsi="Arial"/>
          <w:sz w:val="18"/>
          <w:szCs w:val="18"/>
          <w:color w:val="auto"/>
        </w:rPr>
        <w:t>: ABP is the owner of the AAS contained in the ABP Project tanks.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Product sales</w:t>
      </w:r>
      <w:r>
        <w:rPr>
          <w:rFonts w:ascii="Arial" w:cs="Arial" w:eastAsia="Arial" w:hAnsi="Arial"/>
          <w:sz w:val="18"/>
          <w:szCs w:val="18"/>
          <w:color w:val="auto"/>
        </w:rPr>
        <w:t>: In the event that the AAS is approved by U.S. and the authorities of the Republic of Panama, ABP, and/or ABT, will determine to whom and in what form the harvested AAS will be commercialized.</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Product processing</w:t>
      </w:r>
      <w:r>
        <w:rPr>
          <w:rFonts w:ascii="Arial" w:cs="Arial" w:eastAsia="Arial" w:hAnsi="Arial"/>
          <w:sz w:val="17"/>
          <w:szCs w:val="17"/>
          <w:color w:val="auto"/>
        </w:rPr>
        <w:t>: ABT and/or ABP will decide where to process the harvested AAS. If ABT and/or ABP use the LANDLORD to process the AAS, ABT and/or ABP will pay the LANDLORD a competitively priced processing and packing fee that shall be agreed by both parties.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Sales Proceeds</w:t>
      </w:r>
      <w:r>
        <w:rPr>
          <w:rFonts w:ascii="Arial" w:cs="Arial" w:eastAsia="Arial" w:hAnsi="Arial"/>
          <w:sz w:val="18"/>
          <w:szCs w:val="18"/>
          <w:color w:val="auto"/>
        </w:rPr>
        <w:t>: In the event that the AAS is approved by the U.S. and the authorities of the Republic of Panama, all sales proceeds from approved harvested AAS will belong to ABP and/or ABT.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 PROPERTY TITLE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11.1 The LANDLORD agrees to pursue and obtain clear, legal, ownership title to the Property from the appropriate authorities (ANATI) in Panama or any other authority where the ownership title is to be obtained and further registered.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PROMISE TO LEASE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12.1 Once the inheritance proceeding is finished and the LANDLORD is declared the heir of the Previous Owner, the LANDLORD promises to sign a new lease agreement with ABP in the terms established in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of this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13. PURCHASE RIGHTS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13.1 If the LANDLORD receives an offer from a third party to purchase the Property, either in its entirety, or any portion of the Property, (“Purchase Offer”) LANDLORD will give ABP the right of first refusal to match the purchase offer under the same terms and conditions as offered by the third party.</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13.2 The LANDLORD is required to inform ABP in writing of the Purchase Offer for the Property within three (3) calendar days of receiving it. The Purchase Offer will be considered received upon the confirmation receipt of the electronic means used to inform the Purchase Offer. Notwithstanding the above, the LANDLORD will make the necessary efforts to confirm with ABP that the Purchase Offer was received by ABP.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13.3 ABP has fourteen (14) calendar days to respond to the LANDLORD with ABP’s counter-offer for the Purchase Offer.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14. CURE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any of the Parties breaches the terms of this Agreement (“Breach”), the offended party will deliver a written notice to the breaching party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0" w:right="359" w:bottom="1440" w:gutter="0" w:footer="0" w:header="0"/>
        </w:sectPr>
      </w:pPr>
    </w:p>
    <w:bookmarkStart w:id="100" w:name="page101"/>
    <w:bookmarkEnd w:id="100"/>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within thirty (30) calendar days of the Breach. The breaching party will in turn have sixty (60) calendar days to remedy his Breach (“Cure Period”). In the event that the breaching party does not satisfactorily remedy his Breach within the Cure Period, the offended party shall have the right to terminate this Agreement by written notice to the breaching party. Notwithstanding the above, shall according to the exclusive opinion of ABP, the Breach endangers the ABP Project, upon Notice the LANDLORD will be obliged to immediately remedy the Breach, and shall it not be remedied, ABP will be entitled to terminate this Agreement without Notice and/or judicial authorization.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15. TERMINATION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15.1 The occurrence of any of the following events shall be deemed to be and shall be treated as a default under this Agreement and the parties shall be entitled to terminate this Agreement without the need of Notice and/or judicial authorization:</w:t>
      </w:r>
    </w:p>
    <w:p>
      <w:pPr>
        <w:spacing w:after="0" w:line="7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breach or failure by either Party in the due observance or performance of the obligations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extinction of the possessory rights of LANDLORD over the Property, unless that such possessory rights evolve into property rights and title;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resignation or death of the LANDLORD;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diminishment or contamination of the River Flow and/or spring water adjacent to the Parcel in such a manner that could impede ABP to continue developing its activities and/or the ABP Project;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expiration of the Term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either of the Parties files or have filed a petition of bankruptcy liquidation or dissolution;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the RECITALS described above are not verified or prove to be invalid.</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15.2 The occurrence of the following shall be deemed to be and shall be treated as a default under this Agreement and the Parties shall be entitled to terminate this Agreement without judicial authorization, but with a previous notice of sixty (60) days counted as of the decision to do so:</w:t>
      </w:r>
    </w:p>
    <w:p>
      <w:pPr>
        <w:spacing w:after="0" w:line="38" w:lineRule="exact"/>
        <w:rPr>
          <w:sz w:val="20"/>
          <w:szCs w:val="20"/>
          <w:color w:val="auto"/>
        </w:rPr>
      </w:pPr>
    </w:p>
    <w:p>
      <w:pPr>
        <w:ind w:left="5660" w:right="1640" w:hanging="5196"/>
        <w:spacing w:after="0" w:line="449"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abandonment by ABT or cessation of the New Animal Drug Application for AAS which is under review by the U.S. FDA 9</w:t>
      </w:r>
    </w:p>
    <w:p>
      <w:pPr>
        <w:sectPr>
          <w:pgSz w:w="11900" w:h="16838" w:orient="portrait"/>
          <w:cols w:equalWidth="0" w:num="1">
            <w:col w:w="11400"/>
          </w:cols>
          <w:pgMar w:left="240" w:top="274"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16. CONFLICT RESOLUTION</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event a dispute arises in connection with this Agreement, the parties to such dispute agree that its representatives will meet to attempt to resolve such controversy through a conciliation managed by the Conciliation and Arbitration Center of the Chamber of Commerce of the Republic of Panama.</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dispute is not resolved by conciliation, such dispute shall be submitted to arbitration in law, at a proceeding administered by the Conciliation and Arbitration Center of the Chamber of Commerce of the Republic of Panama, to which rules the Parties unconditionally voluntarily submit and claim knowledge thereof. The dispute shall be resolved in accordance with Panamanian substantive rules and the procedural rules of the Conciliation and Arbitration Center of the Chamber of Commerce of the Republic of Panama or, in its defect, applicable procedural rules under Panamanian law. The arbitration shall take place in Panama City, Republic of Panama and proceedings shall be in Spanish. The award rendered pursuant to such arbitration shall be in writing, shall be final, binding and conclusive between the parties. The award shall have no further recourse, except for those provided for annulment in accordance with the laws of Panama. Once the award is rendered and is final, it will produce the effects of res judicata and the parties shall comply with the award without delay.</w:t>
      </w:r>
    </w:p>
    <w:p>
      <w:pPr>
        <w:spacing w:after="0" w:line="1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All costs and expenses related to the arbitration proceeding shall be borne by the Parties to the dispute in equal parts. Each party will cover the costs of its own legal counsel and expert witnesses, except they expressly agree otherwise or the arbitrators so decide in the final award.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17. TAXES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LANDLORD shall maintain the Property in good standing from any applicable fees or taxes from any public or private institutions during the term of this Agreement and its renewals.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18. 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interpreted and enforced in accordance with the laws of the Republic of Panama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19. ENTIRE AGREEMENT.</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Agreement constitutes the entire Agreement between the Parties related to the subject matter herein, and the terms included herein may not be contradicted by evidence of any prior Agreement or of any oral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20. NOTICES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notice or written communications required or submitted under this Agreement shall be sent to the Following Addresses: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spacing w:after="0"/>
              <w:rPr>
                <w:sz w:val="20"/>
                <w:szCs w:val="20"/>
                <w:color w:val="auto"/>
              </w:rPr>
            </w:pPr>
            <w:r>
              <w:rPr>
                <w:rFonts w:ascii="Arial" w:cs="Arial" w:eastAsia="Arial" w:hAnsi="Arial"/>
                <w:sz w:val="18"/>
                <w:szCs w:val="18"/>
                <w:color w:val="auto"/>
              </w:rPr>
              <w:t>For ABP:</w:t>
            </w:r>
          </w:p>
        </w:tc>
        <w:tc>
          <w:tcPr>
            <w:tcW w:w="7320" w:type="dxa"/>
            <w:vAlign w:val="bottom"/>
          </w:tcPr>
          <w:p>
            <w:pPr>
              <w:spacing w:after="0"/>
              <w:rPr>
                <w:sz w:val="17"/>
                <w:szCs w:val="17"/>
                <w:color w:val="auto"/>
              </w:rPr>
            </w:pPr>
          </w:p>
        </w:tc>
      </w:tr>
      <w:tr>
        <w:trPr>
          <w:trHeight w:val="438"/>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280" w:type="dxa"/>
            <w:vAlign w:val="bottom"/>
            <w:gridSpan w:val="2"/>
          </w:tcPr>
          <w:p>
            <w:pPr>
              <w:spacing w:after="0"/>
              <w:rPr>
                <w:sz w:val="24"/>
                <w:szCs w:val="24"/>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David A. Frank</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Domicile:</w:t>
            </w:r>
          </w:p>
        </w:tc>
        <w:tc>
          <w:tcPr>
            <w:tcW w:w="7320" w:type="dxa"/>
            <w:vAlign w:val="bottom"/>
          </w:tcPr>
          <w:p>
            <w:pPr>
              <w:ind w:left="360"/>
              <w:spacing w:after="0"/>
              <w:rPr>
                <w:sz w:val="20"/>
                <w:szCs w:val="20"/>
                <w:color w:val="auto"/>
              </w:rPr>
            </w:pPr>
            <w:r>
              <w:rPr>
                <w:rFonts w:ascii="Arial" w:cs="Arial" w:eastAsia="Arial" w:hAnsi="Arial"/>
                <w:sz w:val="18"/>
                <w:szCs w:val="18"/>
                <w:color w:val="auto"/>
              </w:rPr>
              <w:t>Two Clock Tower Place, Suite 395, Maynard, MA 01754</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7320" w:type="dxa"/>
            <w:vAlign w:val="bottom"/>
          </w:tcPr>
          <w:p>
            <w:pPr>
              <w:ind w:left="360"/>
              <w:spacing w:after="0"/>
              <w:rPr>
                <w:sz w:val="20"/>
                <w:szCs w:val="20"/>
                <w:color w:val="auto"/>
              </w:rPr>
            </w:pPr>
            <w:r>
              <w:rPr>
                <w:rFonts w:ascii="Arial" w:cs="Arial" w:eastAsia="Arial" w:hAnsi="Arial"/>
                <w:sz w:val="18"/>
                <w:szCs w:val="18"/>
                <w:color w:val="auto"/>
              </w:rPr>
              <w:t>(978) 648-6048</w:t>
            </w:r>
          </w:p>
        </w:tc>
      </w:tr>
      <w:tr>
        <w:trPr>
          <w:trHeight w:val="230"/>
        </w:trPr>
        <w:tc>
          <w:tcPr>
            <w:tcW w:w="1940" w:type="dxa"/>
            <w:vAlign w:val="bottom"/>
            <w:gridSpan w:val="3"/>
          </w:tcPr>
          <w:p>
            <w:pPr>
              <w:spacing w:after="0"/>
              <w:rPr>
                <w:sz w:val="20"/>
                <w:szCs w:val="20"/>
                <w:color w:val="auto"/>
              </w:rPr>
            </w:pPr>
            <w:r>
              <w:rPr>
                <w:rFonts w:ascii="Arial" w:cs="Arial" w:eastAsia="Arial" w:hAnsi="Arial"/>
                <w:sz w:val="18"/>
                <w:szCs w:val="18"/>
                <w:color w:val="auto"/>
              </w:rPr>
              <w:t>Email:</w:t>
            </w:r>
          </w:p>
        </w:tc>
        <w:tc>
          <w:tcPr>
            <w:tcW w:w="7320" w:type="dxa"/>
            <w:vAlign w:val="bottom"/>
          </w:tcPr>
          <w:p>
            <w:pPr>
              <w:ind w:left="360"/>
              <w:spacing w:after="0"/>
              <w:rPr>
                <w:sz w:val="20"/>
                <w:szCs w:val="20"/>
                <w:color w:val="auto"/>
              </w:rPr>
            </w:pPr>
            <w:r>
              <w:rPr>
                <w:rFonts w:ascii="Arial" w:cs="Arial" w:eastAsia="Arial" w:hAnsi="Arial"/>
                <w:sz w:val="18"/>
                <w:szCs w:val="18"/>
                <w:color w:val="auto"/>
              </w:rPr>
              <w:t>dfrank@aquabounty.com</w:t>
            </w:r>
          </w:p>
        </w:tc>
      </w:tr>
      <w:tr>
        <w:trPr>
          <w:trHeight w:val="392"/>
        </w:trPr>
        <w:tc>
          <w:tcPr>
            <w:tcW w:w="1940" w:type="dxa"/>
            <w:vAlign w:val="bottom"/>
            <w:gridSpan w:val="3"/>
          </w:tcPr>
          <w:p>
            <w:pPr>
              <w:spacing w:after="0"/>
              <w:rPr>
                <w:sz w:val="20"/>
                <w:szCs w:val="20"/>
                <w:color w:val="auto"/>
              </w:rPr>
            </w:pPr>
            <w:r>
              <w:rPr>
                <w:rFonts w:ascii="Arial" w:cs="Arial" w:eastAsia="Arial" w:hAnsi="Arial"/>
                <w:sz w:val="18"/>
                <w:szCs w:val="18"/>
                <w:color w:val="auto"/>
              </w:rPr>
              <w:t>For the LANDLORD:</w:t>
            </w:r>
          </w:p>
        </w:tc>
        <w:tc>
          <w:tcPr>
            <w:tcW w:w="7320" w:type="dxa"/>
            <w:vAlign w:val="bottom"/>
          </w:tcPr>
          <w:p>
            <w:pPr>
              <w:spacing w:after="0"/>
              <w:rPr>
                <w:sz w:val="24"/>
                <w:szCs w:val="24"/>
                <w:color w:val="auto"/>
              </w:rPr>
            </w:pPr>
          </w:p>
        </w:tc>
      </w:tr>
      <w:tr>
        <w:trPr>
          <w:trHeight w:val="438"/>
        </w:trPr>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80" w:type="dxa"/>
            <w:vAlign w:val="bottom"/>
          </w:tcPr>
          <w:p>
            <w:pPr>
              <w:spacing w:after="0"/>
              <w:rPr>
                <w:sz w:val="24"/>
                <w:szCs w:val="24"/>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Ligia Gabriela Surgeon de Lamastus</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Domicile:</w:t>
            </w:r>
          </w:p>
        </w:tc>
        <w:tc>
          <w:tcPr>
            <w:tcW w:w="7320" w:type="dxa"/>
            <w:vAlign w:val="bottom"/>
          </w:tcPr>
          <w:p>
            <w:pPr>
              <w:ind w:left="360"/>
              <w:spacing w:after="0"/>
              <w:rPr>
                <w:sz w:val="20"/>
                <w:szCs w:val="20"/>
                <w:color w:val="auto"/>
              </w:rPr>
            </w:pPr>
            <w:r>
              <w:rPr>
                <w:rFonts w:ascii="Arial" w:cs="Arial" w:eastAsia="Arial" w:hAnsi="Arial"/>
                <w:sz w:val="18"/>
                <w:szCs w:val="18"/>
                <w:color w:val="auto"/>
                <w:w w:val="90"/>
              </w:rPr>
              <w:t>Lamasur, Los Naranjos, Avenida Central, Boquete, Provincia de Chiriquí, República de Panamá.</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7320" w:type="dxa"/>
            <w:vAlign w:val="bottom"/>
          </w:tcPr>
          <w:p>
            <w:pPr>
              <w:ind w:left="360"/>
              <w:spacing w:after="0"/>
              <w:rPr>
                <w:sz w:val="20"/>
                <w:szCs w:val="20"/>
                <w:color w:val="auto"/>
              </w:rPr>
            </w:pPr>
            <w:r>
              <w:rPr>
                <w:rFonts w:ascii="Arial" w:cs="Arial" w:eastAsia="Arial" w:hAnsi="Arial"/>
                <w:sz w:val="18"/>
                <w:szCs w:val="18"/>
                <w:color w:val="auto"/>
              </w:rPr>
              <w:t>507 6615 3679</w:t>
            </w:r>
          </w:p>
        </w:tc>
      </w:tr>
      <w:tr>
        <w:trPr>
          <w:trHeight w:val="230"/>
        </w:trPr>
        <w:tc>
          <w:tcPr>
            <w:tcW w:w="1940" w:type="dxa"/>
            <w:vAlign w:val="bottom"/>
            <w:gridSpan w:val="3"/>
          </w:tcPr>
          <w:p>
            <w:pPr>
              <w:spacing w:after="0"/>
              <w:rPr>
                <w:sz w:val="20"/>
                <w:szCs w:val="20"/>
                <w:color w:val="auto"/>
              </w:rPr>
            </w:pPr>
            <w:r>
              <w:rPr>
                <w:rFonts w:ascii="Arial" w:cs="Arial" w:eastAsia="Arial" w:hAnsi="Arial"/>
                <w:sz w:val="18"/>
                <w:szCs w:val="18"/>
                <w:color w:val="auto"/>
              </w:rPr>
              <w:t>Email:</w:t>
            </w:r>
          </w:p>
        </w:tc>
        <w:tc>
          <w:tcPr>
            <w:tcW w:w="7320" w:type="dxa"/>
            <w:vAlign w:val="bottom"/>
          </w:tcPr>
          <w:p>
            <w:pPr>
              <w:ind w:left="360"/>
              <w:spacing w:after="0"/>
              <w:rPr>
                <w:sz w:val="20"/>
                <w:szCs w:val="20"/>
                <w:color w:val="auto"/>
              </w:rPr>
            </w:pPr>
            <w:r>
              <w:rPr>
                <w:rFonts w:ascii="Arial" w:cs="Arial" w:eastAsia="Arial" w:hAnsi="Arial"/>
                <w:sz w:val="18"/>
                <w:szCs w:val="18"/>
                <w:color w:val="auto"/>
              </w:rPr>
              <w:t>gabysurgeon@icloud.com</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21. MODIFICATIONS</w:t>
      </w:r>
      <w:r>
        <w:rPr>
          <w:rFonts w:ascii="Arial" w:cs="Arial" w:eastAsia="Arial" w:hAnsi="Arial"/>
          <w:sz w:val="18"/>
          <w:szCs w:val="18"/>
          <w:b w:val="1"/>
          <w:bCs w:val="1"/>
          <w:color w:val="auto"/>
        </w:rPr>
        <w:t>.</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Agreement can be only modified by written agreement of the Parties. No change in, addition to, or waiver of any of the terms and conditions of this Agreement shall be binding upon any Party unless approved by it in writing.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22: </w:t>
      </w: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Agreement shall not assign any rights or obligations hereunder without the express written consent of the other Party.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23. SEVERABILITY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it is determined that any provision of this Agreement is invalid or not binding, in whole or in part, such invalidity shall be only in respect of that provision or portion thereof and the remainder of the same clause or all the remaining provisions of this Agreement shall remain valid, in full force and binding on the Parties.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0"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24. CONFIDENTIALITY</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Parties agree to maintain strict confidentiality of the terms of this Agreement. The Parties shall treat as confidential all information made available to them under this Agreement and shall not disclose such confidential information without the written consent of the owner of that information.</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foregoing restriction on use and disclosure shall not apply to confidential information that, at the time of disclosure or its becoming known to the recipient, the recipient can show:</w:t>
      </w:r>
    </w:p>
    <w:p>
      <w:pPr>
        <w:spacing w:after="0" w:line="7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public knowledge;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Came lawfully into the recipient’s possession otherwise than directly or indirectly from the owner without restriction on its subsequent disclosure or use by the recipient.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 on use and disclosure shall be maintained by the recipient until the confidential information:</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Becomes public knowledge through no fault or action on the recipient’s part; or</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Comes into the recipient’s possession free from any restriction from a third party (other than the owner or its affiliate) who has the lawful right to make such disclosure.</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Notwithstanding the foregoing restriction on use and disclosure, a party may disclose confidential information to any competent governmental agencies having authority to require such disclosure but informing such governmental agencies of the confidential nature of such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25: Counterparts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Agreement may be executed in counterparts (and by different parties hereto in different counterparts), each of which shall constitute an original, but all of which when taken together shall constitute a single contract. This Agreement shall become effective when it shall have been executed by the Parties in their respective counterparts, and when taken together constitute a single document. Delivery of an executed counterpart of a signature page of this Agreement by telecopy or electronic transmission shall be effective as delivery of a manually executed counterpart of this Agreement.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day and year first above written.</w:t>
      </w:r>
    </w:p>
    <w:p>
      <w:pPr>
        <w:sectPr>
          <w:pgSz w:w="11900" w:h="16838" w:orient="portrait"/>
          <w:cols w:equalWidth="0" w:num="1">
            <w:col w:w="10219"/>
          </w:cols>
          <w:pgMar w:left="240" w:top="274" w:right="1440" w:bottom="1440" w:gutter="0" w:footer="0" w:header="0"/>
        </w:sectPr>
      </w:pPr>
    </w:p>
    <w:p>
      <w:pPr>
        <w:spacing w:after="0" w:line="2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Gabriela Surgeon de Lamastus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4098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LIGIA GABRIELA SURGEON DE LAMASTUS</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LANDLORD</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David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4098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DAVID FRANK</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AQUA BOUNTY PANAMA S. DE R.L.</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74" w:right="1440" w:bottom="1440" w:gutter="0" w:footer="0" w:header="0"/>
          <w:type w:val="continuous"/>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This Lease Agreement (“Agreement”) is made and entered into as of</w:t>
      </w:r>
      <w:r>
        <w:rPr>
          <w:sz w:val="20"/>
          <w:szCs w:val="20"/>
          <w:color w:val="auto"/>
        </w:rPr>
        <w:tab/>
      </w:r>
      <w:r>
        <w:rPr>
          <w:rFonts w:ascii="Arial" w:cs="Arial" w:eastAsia="Arial" w:hAnsi="Arial"/>
          <w:sz w:val="17"/>
          <w:szCs w:val="17"/>
          <w:color w:val="auto"/>
        </w:rPr>
        <w:t xml:space="preserve">(the “Effective Date”), by and between </w:t>
      </w:r>
      <w:r>
        <w:rPr>
          <w:rFonts w:ascii="Arial" w:cs="Arial" w:eastAsia="Arial" w:hAnsi="Arial"/>
          <w:sz w:val="17"/>
          <w:szCs w:val="17"/>
          <w:b w:val="1"/>
          <w:bCs w:val="1"/>
          <w:color w:val="auto"/>
        </w:rPr>
        <w:t>LIGIA GABRIELA SURGEON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-7620</wp:posOffset>
            </wp:positionV>
            <wp:extent cx="571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 xml:space="preserve">DE LAMASTUS </w:t>
      </w:r>
      <w:r>
        <w:rPr>
          <w:rFonts w:ascii="Arial" w:cs="Arial" w:eastAsia="Arial" w:hAnsi="Arial"/>
          <w:sz w:val="18"/>
          <w:szCs w:val="18"/>
          <w:color w:val="auto"/>
        </w:rPr>
        <w:t>(legal name), female, Panamanian, of legal age, widowed, with identity card No. X-XXX-XXXX; Michelle Marie Lamastus Surgeon,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female, Panamanian, of legal age, married, student, with identity card number X-XXX-XXX; Melissa Lynn Lamastus Surgeon, female, Panamanian, of legal age, married, financial manager, with identity card number X-XXX-XXX; Christine Gabriela Lamastus Surgeon, female, Panamanian, of legal age, single, teacher, with identity card number X-XXX-XXXX, the last three duly represented by LIGIA GABRIELA SURGEON DE LAMASTUS, as evidenced in power of attorney granted to her included as EXHIBIT C, (collectively the “LANDLORD”) on one hand, and on the other hand, DAVID FRANK, male, American (USA), of legal age, with passport No. XXXXXXXXX, acting in name and on behalf of </w:t>
      </w:r>
      <w:r>
        <w:rPr>
          <w:rFonts w:ascii="Arial" w:cs="Arial" w:eastAsia="Arial" w:hAnsi="Arial"/>
          <w:sz w:val="18"/>
          <w:szCs w:val="18"/>
          <w:b w:val="1"/>
          <w:bCs w:val="1"/>
          <w:color w:val="auto"/>
        </w:rPr>
        <w:t>AQUA BOUNTY PANAMA, S. de R.L.</w:t>
      </w:r>
      <w:r>
        <w:rPr>
          <w:rFonts w:ascii="Arial" w:cs="Arial" w:eastAsia="Arial" w:hAnsi="Arial"/>
          <w:sz w:val="18"/>
          <w:szCs w:val="18"/>
          <w:color w:val="auto"/>
        </w:rPr>
        <w:t>, a company duly organized and existing under the laws of the Republic of Panama, registered under Microjacket 1017, Document 1363400 of the Mercantile Section of the Public Registry of the Republic of Panama, (“</w:t>
      </w:r>
      <w:r>
        <w:rPr>
          <w:rFonts w:ascii="Arial" w:cs="Arial" w:eastAsia="Arial" w:hAnsi="Arial"/>
          <w:sz w:val="18"/>
          <w:szCs w:val="18"/>
          <w:b w:val="1"/>
          <w:bCs w:val="1"/>
          <w:color w:val="auto"/>
        </w:rPr>
        <w:t>ABP</w:t>
      </w:r>
      <w:r>
        <w:rPr>
          <w:rFonts w:ascii="Arial" w:cs="Arial" w:eastAsia="Arial" w:hAnsi="Arial"/>
          <w:sz w:val="18"/>
          <w:szCs w:val="18"/>
          <w:color w:val="auto"/>
        </w:rPr>
        <w:t>”) duly authorized to that end, as registered before the Public Registry, (each individually a “Party” and both collectively the “Parties”).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WHEREAS, the LANDLORD is the owner of possessory rights over a property of approximately 21 hectares, located in Los Naranjos, District of Boquete, Province of Chiriqui, Republic of Panama (the “Property”).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WHEREAS, the Property is adjacent to a river flow that originates from the </w:t>
      </w:r>
      <w:r>
        <w:rPr>
          <w:rFonts w:ascii="Arial" w:cs="Arial" w:eastAsia="Arial" w:hAnsi="Arial"/>
          <w:sz w:val="18"/>
          <w:szCs w:val="18"/>
          <w:i w:val="1"/>
          <w:iCs w:val="1"/>
          <w:color w:val="auto"/>
        </w:rPr>
        <w:t>Rio Caldera</w:t>
      </w:r>
      <w:r>
        <w:rPr>
          <w:rFonts w:ascii="Arial" w:cs="Arial" w:eastAsia="Arial" w:hAnsi="Arial"/>
          <w:sz w:val="18"/>
          <w:szCs w:val="18"/>
          <w:color w:val="auto"/>
        </w:rPr>
        <w:t xml:space="preserve"> (“River Flow”), with an average water flow of 95,000 gallons per minute during the rainy season, that is key for the purpose of this Agreement.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WHEREAS, the Property is under the total control and use of the LANDLORD, including the River Flow but for the 2.03 hectares previously given in usufruct to ABP. Furthermore, the Property is under a titling process before the National Property Administration Authority (ANATI) to obtain an official property title.</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WHEREAS, the LANDLORD wishes to lease to ABP, and ABP wishes to lease from the LANDLORD, a portion of 2.03 hectares of the Property adjacent to the River Flow, that is described and depicted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that constitutes part of this Agreement (the “Parcel”).</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WHEREAS, the Parcel was subject to a usufruct agreement (“Previous Usufruct Agreement”) subscribed between a previous owner and ABP in which ABP is developing an aquaculture project identified as “Aqua</w:t>
      </w:r>
    </w:p>
    <w:p>
      <w:pPr>
        <w:sectPr>
          <w:pgSz w:w="11900" w:h="16838" w:orient="portrait"/>
          <w:cols w:equalWidth="0" w:num="1">
            <w:col w:w="11380"/>
          </w:cols>
          <w:pgMar w:left="240" w:top="270" w:right="279" w:bottom="1440" w:gutter="0" w:footer="0" w:header="0"/>
        </w:sectPr>
      </w:pPr>
    </w:p>
    <w:bookmarkStart w:id="106" w:name="page107"/>
    <w:bookmarkEnd w:id="10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Bounty Panama Project” consisting of the production of genetically modified salmon (the “ABP Project”) that requires (i) the importation of AquAdvantage Salmon (“</w:t>
      </w:r>
      <w:r>
        <w:rPr>
          <w:rFonts w:ascii="Arial" w:cs="Arial" w:eastAsia="Arial" w:hAnsi="Arial"/>
          <w:sz w:val="18"/>
          <w:szCs w:val="18"/>
          <w:b w:val="1"/>
          <w:bCs w:val="1"/>
          <w:color w:val="auto"/>
        </w:rPr>
        <w:t>AAS</w:t>
      </w:r>
      <w:r>
        <w:rPr>
          <w:rFonts w:ascii="Arial" w:cs="Arial" w:eastAsia="Arial" w:hAnsi="Arial"/>
          <w:sz w:val="18"/>
          <w:szCs w:val="18"/>
          <w:color w:val="auto"/>
        </w:rPr>
        <w:t>”) eggs from the facilities of Aqua Bounty Technologies (“</w:t>
      </w:r>
      <w:r>
        <w:rPr>
          <w:rFonts w:ascii="Arial" w:cs="Arial" w:eastAsia="Arial" w:hAnsi="Arial"/>
          <w:sz w:val="18"/>
          <w:szCs w:val="18"/>
          <w:b w:val="1"/>
          <w:bCs w:val="1"/>
          <w:color w:val="auto"/>
        </w:rPr>
        <w:t>ABT</w:t>
      </w:r>
      <w:r>
        <w:rPr>
          <w:rFonts w:ascii="Arial" w:cs="Arial" w:eastAsia="Arial" w:hAnsi="Arial"/>
          <w:sz w:val="18"/>
          <w:szCs w:val="18"/>
          <w:color w:val="auto"/>
        </w:rPr>
        <w:t>”) and (ii) grow-out of the AAS.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LANDLORD has demonstrated that the Parcel is free and clear from any encumbrances, liens or restrictions. Furthermore, the Property is in good standing from any fees or taxes applicable from any public or private institutions.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WHEREAS, the LANDLORD has demonstrated that there are no claims or disputes over the possessory rights and/or title rights of the LANDLORD or of any other nature on the Parcel and on the Property.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for purposes of the ABP Project, ABP will obtain from Aqua Bounty Technologies (“ABT”) the AAS eggs and will ship them to Panama for production.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ABP made capital investments and improvements to the Parcel during the term of the Previous Usufruct Agreement, consisting of the following (“FACILITIES AND EQUIPMENT”):</w:t>
      </w:r>
    </w:p>
    <w:p>
      <w:pPr>
        <w:spacing w:after="0" w:line="76" w:lineRule="exact"/>
        <w:rPr>
          <w:sz w:val="20"/>
          <w:szCs w:val="20"/>
          <w:color w:val="auto"/>
        </w:rPr>
      </w:pPr>
    </w:p>
    <w:p>
      <w:pPr>
        <w:ind w:left="9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buildings contained on the Parcel, including, but not limited to, the quarantine building containing the fry tanks, egg incubation system, feed warehouse and office.</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structures, including, but not limited to, the small LHO (“Low Head Oxygenator”), large LHO, concrete water intake and distribution structure, containment sump, and sedimentation pond outlet structures.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fry tanks and external grow-out tanks.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containment components, including the filters and screens, filter boxes, containment sump screens, sedimentations ponds including their outlet screens, and perimeter fencing.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Water distribution components, including river and spring water intakes, pipes, drainage canal, and sedimentation ponds.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Electrical generation system, including the solar panels, hydroelectric turbine, and associated electrical transmission and storage components.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in furtherance of this ABP Project, ABP wishes to obtain from the LANDLORD, and the LANDLORD wishes to provide to ABP access to and unrestricted use of the Parcel in order for ABP to operate the ABP Project.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NOW, THEREFORE, in consideration of the premises described above, and of the mutual benefits and obligations set forth in this Agreement, the Parties hereto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Recitals set forth above are material to this Agreement and are hereby expressly incorporated herein.</w:t>
      </w:r>
    </w:p>
    <w:p>
      <w:pPr>
        <w:sectPr>
          <w:pgSz w:w="11900" w:h="16838" w:orient="portrait"/>
          <w:cols w:equalWidth="0" w:num="1">
            <w:col w:w="11340"/>
          </w:cols>
          <w:pgMar w:left="240" w:top="274"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LANDLORD hereby leases to ABP the following:</w:t>
      </w:r>
    </w:p>
    <w:p>
      <w:pPr>
        <w:spacing w:after="0" w:line="12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Parcel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all its inherent benefits.</w:t>
      </w:r>
    </w:p>
    <w:p>
      <w:pPr>
        <w:spacing w:after="0" w:line="134"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River Flow and spring water adjacent to the Parcel.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 PARCEL AND WATER 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 ABP shall only use the Parcel for activities related to the ABP Project.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ABP shall use the Parcel with the diligence of a good </w:t>
      </w:r>
      <w:r>
        <w:rPr>
          <w:rFonts w:ascii="Arial" w:cs="Arial" w:eastAsia="Arial" w:hAnsi="Arial"/>
          <w:sz w:val="17"/>
          <w:szCs w:val="17"/>
          <w:i w:val="1"/>
          <w:iCs w:val="1"/>
          <w:color w:val="auto"/>
        </w:rPr>
        <w:t>pater familias</w:t>
      </w:r>
      <w:r>
        <w:rPr>
          <w:rFonts w:ascii="Arial" w:cs="Arial" w:eastAsia="Arial" w:hAnsi="Arial"/>
          <w:sz w:val="17"/>
          <w:szCs w:val="17"/>
          <w:color w:val="auto"/>
        </w:rPr>
        <w:t xml:space="preserve"> and shall not knowingly allow the Parcel to be used for any unlawful purpose.</w:t>
      </w:r>
    </w:p>
    <w:p>
      <w:pPr>
        <w:spacing w:after="0" w:line="2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2.3 ABP shall make any additional improvements that it deems convenient and/or necessary to develop the ABP Project without the approval of the LANDLORD.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2.4 Unless there is a cause that originates from Acts of God, the ABP Project will have access to the River Flow and to spring water at the same volumes that are currently in use in the ABP Project and in no event shall these volumes be lower than 2170 gallons per minute of river water for the growout tanks and 130 gallons per minute of spring water for the fry tanks.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2.5 The water distribution system of the ABP Project will be managed by ABP. The LANDLORD will not diminish, increase or in any way endanger the water levels in the ABP Project’s drainage canal and sedimentation ponds without the written consent of ABP. The LANDLORD in no way will contaminate the waters of the ABP Project.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2.6 In the event that the LANDLORD develops production facilities that require water use in her portion of the Property, ABP shall share with the LANDLORD, without any cost to the LANDLORD, a portion of the water flow contained in the water distribution system only if the water requirements for the ABP Project are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 TERM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3.1 The term of this Agreement shall be two (2) years as of the Effective Date (“Term”) and shall be renewed by equal terms at the exclusive option of ABP.</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 LANDLORD OBLIGATIONS AND PROHIBITIONS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4.1 The LANDLORD shall guarantee ABP the peaceful and uninterrupted use of the Parcel.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 The LANDLORD shall make any repair that is needed to preserve the Parcel for the use of ABP for the purposes herein established.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4.3 The LANDLORD shall not impose any liens or restrictions for the use of the Property during the Term of this Agreement. Shall the LANDLORD sells or transfers his possessory rights over the Property, the contract covering the sale or transfer of the possessory rights over the Property to the new owner shall include the duty of the new owner to respect this</w:t>
      </w:r>
    </w:p>
    <w:p>
      <w:pPr>
        <w:sectPr>
          <w:pgSz w:w="11900" w:h="16838" w:orient="portrait"/>
          <w:cols w:equalWidth="0" w:num="1">
            <w:col w:w="11340"/>
          </w:cols>
          <w:pgMar w:left="240" w:top="270" w:right="319" w:bottom="1440" w:gutter="0" w:footer="0" w:header="0"/>
        </w:sectPr>
      </w:pPr>
    </w:p>
    <w:bookmarkStart w:id="108" w:name="page109"/>
    <w:bookmarkEnd w:id="10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In any case, ABP has the right to exercise any actions that it deems convenient or necessary to guarantee that the Parcel, the equipment and the improvements are free and clear from any liens or restriction of use.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4.4 The LANDLORD agrees not to modify or interfere with any of the existing AAS production facilities, containment, and/or water distribution systems of the ABP Project without prior written authorization of ABP and/or ABT. The LANDLORD will not jeopardize, negatively impact or increase effluent flow into the ABP Project drainage canal and sedimentation ponds without the written authorization of ABP. The LANDLORD has knowledge that any unauthorized change to the facilities of the ABP Project that were previously inspected by the FDA could jeopardize ABT’s Food and Drug Administration (FDA) application.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 LANDLORD RIGHTS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5.1 The LANDLORD is permitted to build on the Property outside the borders of the Parcel, in accordance with the Property borders established in EXHIBIT A, as long as the construction and new infrastructure does not impede the development of the ABP Project, damages or interferes with (i) the existing ABP Project infrastructure; (ii) the FACILITIES and EQUIPMENT; (iii) containment elements and/or (iv) the River Flow and spring water used in the ABP Project and the effluent. The LANDLORD must advise ABP in writing before making any constructions or additions to the infrastructure of the ABP Project for ABP and shall await for ABP to authorize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5.2 The LANDLORD has the right to receive technical assistance from ABP when needed.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ABP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6.1 ABP shall provide the LANDLORD with the monthly payment described in Article 8.1 of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7. ABP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7.1 ABP has the right to:</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the ABP Project at any time without prior notice to the LANDLORD.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its technical and management parameters on the management of the ABP Project to guarantee the survival, performance, and production of the AAS.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PAYMENT</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8.1 ABP agrees to pay the LANDLORD a total fee of </w:t>
      </w:r>
      <w:r>
        <w:rPr>
          <w:rFonts w:ascii="Arial" w:cs="Arial" w:eastAsia="Arial" w:hAnsi="Arial"/>
          <w:sz w:val="18"/>
          <w:szCs w:val="18"/>
          <w:b w:val="1"/>
          <w:bCs w:val="1"/>
          <w:color w:val="auto"/>
        </w:rPr>
        <w:t>US$360,000.00</w:t>
      </w:r>
      <w:r>
        <w:rPr>
          <w:rFonts w:ascii="Arial" w:cs="Arial" w:eastAsia="Arial" w:hAnsi="Arial"/>
          <w:sz w:val="18"/>
          <w:szCs w:val="18"/>
          <w:color w:val="auto"/>
        </w:rPr>
        <w:t xml:space="preserve"> over the term of the lease (the FEE), which covers all of the costs for the lease of the Parcel, which is US$15,000 per month.</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8.2 The monthly lease fee described in Article 8.1 will be discounted by US$1,800 per month until completing the repayment of the US$21,600 associated with the August 2014 INASA trout feed order (400 </w:t>
      </w:r>
      <w:r>
        <w:rPr>
          <w:rFonts w:ascii="Arial" w:cs="Arial" w:eastAsia="Arial" w:hAnsi="Arial"/>
          <w:sz w:val="18"/>
          <w:szCs w:val="18"/>
          <w:i w:val="1"/>
          <w:iCs w:val="1"/>
          <w:color w:val="auto"/>
        </w:rPr>
        <w:t>quintales</w:t>
      </w:r>
      <w:r>
        <w:rPr>
          <w:rFonts w:ascii="Arial" w:cs="Arial" w:eastAsia="Arial" w:hAnsi="Arial"/>
          <w:sz w:val="18"/>
          <w:szCs w:val="18"/>
          <w:color w:val="auto"/>
        </w:rPr>
        <w:t>) which ABP purchased on the LANDLORD’S behalf (Exhibit B) of which a part has already been paid as a result of discounting US$1,800.00 per month within a previous agreement.</w:t>
      </w:r>
    </w:p>
    <w:p>
      <w:pPr>
        <w:sectPr>
          <w:pgSz w:w="11900" w:h="16838" w:orient="portrait"/>
          <w:cols w:equalWidth="0" w:num="1">
            <w:col w:w="11380"/>
          </w:cols>
          <w:pgMar w:left="240" w:top="274" w:right="2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 The FEE shall be transferred to the following bank account designated by the LANDLORD within the first ten (10) days of every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LIGIA GABRIELA SURGEON DE LAMASTUS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 # 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New York 10043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Wall Street,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BANK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 GLBLPAPA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5056 Victoriano Lorenzo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 REPUBLIC OF PANAMA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9. LEGAL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9.1 In the event that Panamanian legal counsel is required to defend the ABP Project against litigations or claims, ABP will assume the legal expenses if the litigation or claim arise out of (i) reasons not attributable to the LANDORD; and/or (ii) reasons attributable to the ABP Project or the AAS eggs. However, if the litigation or claim is a result of (i) a direct or indirect action of the LANDLORD, (ii) dispute on possessory rights on the Property and/or (iii) inheritance rights involving the Property, then the LANDLORD will bear said legal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PRODUCT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Product ownership</w:t>
      </w:r>
      <w:r>
        <w:rPr>
          <w:rFonts w:ascii="Arial" w:cs="Arial" w:eastAsia="Arial" w:hAnsi="Arial"/>
          <w:sz w:val="18"/>
          <w:szCs w:val="18"/>
          <w:color w:val="auto"/>
        </w:rPr>
        <w:t>: ABP is the owner of the AAS contained in the ABP Project tanks.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Product sales</w:t>
      </w:r>
      <w:r>
        <w:rPr>
          <w:rFonts w:ascii="Arial" w:cs="Arial" w:eastAsia="Arial" w:hAnsi="Arial"/>
          <w:sz w:val="18"/>
          <w:szCs w:val="18"/>
          <w:color w:val="auto"/>
        </w:rPr>
        <w:t>: In the event that the AAS is approved by U.S. and the authorities of the Republic of Panama, ABP, and/or ABT, will determine to whom and in what form the harvested AAS will be commercialized.</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Product processing</w:t>
      </w:r>
      <w:r>
        <w:rPr>
          <w:rFonts w:ascii="Arial" w:cs="Arial" w:eastAsia="Arial" w:hAnsi="Arial"/>
          <w:sz w:val="17"/>
          <w:szCs w:val="17"/>
          <w:color w:val="auto"/>
        </w:rPr>
        <w:t>: ABT and/or ABP will decide where to process the harvested AAS. If ABT and/or ABP use the LANDLORD to process the AAS, ABT and/or ABP will pay the LANDLORD a competitively priced processing and packing fee that shall be agreed by both parties.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Sales Proceeds</w:t>
      </w:r>
      <w:r>
        <w:rPr>
          <w:rFonts w:ascii="Arial" w:cs="Arial" w:eastAsia="Arial" w:hAnsi="Arial"/>
          <w:sz w:val="18"/>
          <w:szCs w:val="18"/>
          <w:color w:val="auto"/>
        </w:rPr>
        <w:t>: In the event that the AAS is approved by the U.S. and the authorities of the Republic of Panama, all sales proceeds from approved harvested AAS will belong to ABP and/or ABT.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11. PROPERTY TITLE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11.1 The LANDLORD agrees to pursue and obtain clear, legal, ownership title to the Property from the appropriate authorities (ANATI) in Panama or any other authority where the ownership title is to be obtained and further registered.</w:t>
      </w:r>
    </w:p>
    <w:p>
      <w:pPr>
        <w:sectPr>
          <w:pgSz w:w="11900" w:h="16838" w:orient="portrait"/>
          <w:cols w:equalWidth="0" w:num="1">
            <w:col w:w="11320"/>
          </w:cols>
          <w:pgMar w:left="240" w:top="27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PURCHASE RIGHTS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13.1 If the LANDLORD receives an offer from a third party to purchase the Property, either in its entirety, or any portion of the Property, (“Purchase Offer”) LANDLORD will give ABP the right of first refusal to match the purchase offer under the same terms and conditions as offered by the third party.</w:t>
      </w:r>
    </w:p>
    <w:p>
      <w:pPr>
        <w:spacing w:after="0" w:line="12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13.2 The LANDLORD is required to inform ABP in writing of the Purchase Offer for the Property within three (3) calendar days of receiving it. The Purchase Offer will be considered received upon the confirmation receipt of the electronic means used to inform the Purchase Offer. Notwithstanding the above, the LANDLORD will make the necessary efforts to confirm with ABP that the Purchase Offer was received by ABP.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13.3 ABP has fourteen (14) calendar days to respond to the LANDLORD with ABP’s counter-offer for the Purchase Offer.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14. CURE PERIOD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of the Parties breaches the terms of this Agreement (“Breach”), the offended party will deliver a written notice to the breaching party (“Notice”) within thirty (30) calendar days of the Breach. The breaching party will in turn have sixty (60) calendar days to remedy his Breach (“Cure Period”). In the event that the breaching party does not satisfactorily remedy his Breach within the Cure Period, the offended party shall have the right to terminate this Agreement by written notice to the breaching party. Notwithstanding the above, shall according to the exclusive opinion of ABP, the Breach endangers the ABP Project, upon Notice the LANDLORD will be obliged to immediately remedy the Breach, and shall it not be remedied, ABP will be entitled to terminate this Agreement without Notice and/or judicial authorization.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15. TERMINATION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15.1 The occurrence of any of the following events shall be deemed to be and shall be treated as a default under this Agreement and the parties shall be entitled to terminate this Agreement without the need of Notice and/or judicial authorization:</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breach or failure by either Party in the due observance or performance of the obligations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extinction of the possessory rights of LANDLORD over the Property, unless that such possessory rights evolve into property rights and title;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resignation or death of the LANDLORD;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diminishment or contamination of the River Flow and/or spring water adjacent to the Parcel in such a manner that could impede ABP to continue developing its activities and/or the ABP Project;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expiration of the Term of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either of the Parties files or have filed a petition of bankruptcy liquidation or dissolution,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of the RECITALS described above are not verified or prove to be invalid.</w:t>
      </w:r>
    </w:p>
    <w:p>
      <w:pPr>
        <w:sectPr>
          <w:pgSz w:w="11900" w:h="16838" w:orient="portrait"/>
          <w:cols w:equalWidth="0" w:num="1">
            <w:col w:w="11360"/>
          </w:cols>
          <w:pgMar w:left="240" w:top="270" w:right="299" w:bottom="1440" w:gutter="0" w:footer="0" w:header="0"/>
        </w:sectPr>
      </w:pPr>
    </w:p>
    <w:bookmarkStart w:id="111" w:name="page112"/>
    <w:bookmarkEnd w:id="111"/>
    <w:p>
      <w:pPr>
        <w:ind w:left="460"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 The occurrence of the following shall be deemed to be and shall be treated as a default under this Agreement and the Parties shall be entitled to terminate this Agreement without judicial authorization, but with a previous notice of sixty (60) days counted as of the decision to do so:</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The abandonment by ABT or cessation of the New Animal Drug Application for AAS which is under review by the U.S. FDA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16. CONFLICT RESOLUTION</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event a dispute arises in connection with this Agreement, the parties to such dispute agree that its representatives will meet to attempt to resolve such controversy through a conciliation managed by the Conciliation and Arbitration Center of the Chamber of Commerce of the Republic of Panama.</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dispute is not resolved by conciliation, such dispute shall be submitted to arbitration in law, at a proceeding administered by the Conciliation and Arbitration Center of the Chamber of Commerce of the Republic of Panama, to which rules the Parties unconditionally voluntarily submit and claim knowledge thereof. The dispute shall be resolved in accordance with Panamanian substantive rules and the procedural rules of the Conciliation and Arbitration Center of the Chamber of Commerce of the Republic of Panama or, in its defect, applicable procedural rules under Panamanian law. The arbitration shall take place in Panama City, Republic of Panama and proceedings shall be in Spanish. The award rendered pursuant to such arbitration shall be in writing, shall be final, binding and conclusive between the parties. The award shall have no further recourse, except for those provided for annulment in accordance with the laws of Panama. Once the award is rendered and is final, it will produce the effects of res judicata and the parties shall comply with the award without delay.</w:t>
      </w:r>
    </w:p>
    <w:p>
      <w:pPr>
        <w:spacing w:after="0" w:line="1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All costs and expenses related to the arbitration proceeding shall be borne by the Parties to the dispute in equal parts. Each party will cover the costs of its own legal counsel and expert witnesses, except they expressly agree otherwise or the arbitrators so decide in the final award.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17. TAXES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LANDLORD shall maintain the Property in good standing from any applicable fees or taxes from any public or private institutions during the term of this Agreement and its renewals.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18. 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interpreted and enforced in accordance with the laws of the Republic of Panama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19. ENTIRE AGREEMENT</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This Agreement constitutes the entire Agreement between the Parties related to the subject matter herein, and the terms included herein may not be contradicted by evidence of any prior Agreement or of any oral Agreement.</w:t>
      </w:r>
    </w:p>
    <w:p>
      <w:pPr>
        <w:sectPr>
          <w:pgSz w:w="11900" w:h="16838" w:orient="portrait"/>
          <w:cols w:equalWidth="0" w:num="1">
            <w:col w:w="11380"/>
          </w:cols>
          <w:pgMar w:left="240" w:top="274"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20. NOTICES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notice or written communications required or submitted under this Agreement shall be sent to the Following Addresses: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spacing w:after="0"/>
              <w:rPr>
                <w:sz w:val="20"/>
                <w:szCs w:val="20"/>
                <w:color w:val="auto"/>
              </w:rPr>
            </w:pPr>
            <w:r>
              <w:rPr>
                <w:rFonts w:ascii="Arial" w:cs="Arial" w:eastAsia="Arial" w:hAnsi="Arial"/>
                <w:sz w:val="18"/>
                <w:szCs w:val="18"/>
                <w:color w:val="auto"/>
              </w:rPr>
              <w:t>For ABP:</w:t>
            </w:r>
          </w:p>
        </w:tc>
        <w:tc>
          <w:tcPr>
            <w:tcW w:w="7320" w:type="dxa"/>
            <w:vAlign w:val="bottom"/>
          </w:tcPr>
          <w:p>
            <w:pPr>
              <w:spacing w:after="0"/>
              <w:rPr>
                <w:sz w:val="17"/>
                <w:szCs w:val="17"/>
                <w:color w:val="auto"/>
              </w:rPr>
            </w:pPr>
          </w:p>
        </w:tc>
      </w:tr>
      <w:tr>
        <w:trPr>
          <w:trHeight w:val="438"/>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280" w:type="dxa"/>
            <w:vAlign w:val="bottom"/>
            <w:gridSpan w:val="2"/>
          </w:tcPr>
          <w:p>
            <w:pPr>
              <w:spacing w:after="0"/>
              <w:rPr>
                <w:sz w:val="24"/>
                <w:szCs w:val="24"/>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David A. Frank</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Domicile:</w:t>
            </w:r>
          </w:p>
        </w:tc>
        <w:tc>
          <w:tcPr>
            <w:tcW w:w="7320" w:type="dxa"/>
            <w:vAlign w:val="bottom"/>
          </w:tcPr>
          <w:p>
            <w:pPr>
              <w:ind w:left="360"/>
              <w:spacing w:after="0"/>
              <w:rPr>
                <w:sz w:val="20"/>
                <w:szCs w:val="20"/>
                <w:color w:val="auto"/>
              </w:rPr>
            </w:pPr>
            <w:r>
              <w:rPr>
                <w:rFonts w:ascii="Arial" w:cs="Arial" w:eastAsia="Arial" w:hAnsi="Arial"/>
                <w:sz w:val="18"/>
                <w:szCs w:val="18"/>
                <w:color w:val="auto"/>
              </w:rPr>
              <w:t>Two Clock Tower Place, Suite 395, Maynard, MA 01754</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7320" w:type="dxa"/>
            <w:vAlign w:val="bottom"/>
          </w:tcPr>
          <w:p>
            <w:pPr>
              <w:ind w:left="360"/>
              <w:spacing w:after="0"/>
              <w:rPr>
                <w:sz w:val="20"/>
                <w:szCs w:val="20"/>
                <w:color w:val="auto"/>
              </w:rPr>
            </w:pPr>
            <w:r>
              <w:rPr>
                <w:rFonts w:ascii="Arial" w:cs="Arial" w:eastAsia="Arial" w:hAnsi="Arial"/>
                <w:sz w:val="18"/>
                <w:szCs w:val="18"/>
                <w:color w:val="auto"/>
              </w:rPr>
              <w:t>(978) 648-6048</w:t>
            </w:r>
          </w:p>
        </w:tc>
      </w:tr>
      <w:tr>
        <w:trPr>
          <w:trHeight w:val="230"/>
        </w:trPr>
        <w:tc>
          <w:tcPr>
            <w:tcW w:w="1940" w:type="dxa"/>
            <w:vAlign w:val="bottom"/>
            <w:gridSpan w:val="3"/>
          </w:tcPr>
          <w:p>
            <w:pPr>
              <w:spacing w:after="0"/>
              <w:rPr>
                <w:sz w:val="20"/>
                <w:szCs w:val="20"/>
                <w:color w:val="auto"/>
              </w:rPr>
            </w:pPr>
            <w:r>
              <w:rPr>
                <w:rFonts w:ascii="Arial" w:cs="Arial" w:eastAsia="Arial" w:hAnsi="Arial"/>
                <w:sz w:val="18"/>
                <w:szCs w:val="18"/>
                <w:color w:val="auto"/>
              </w:rPr>
              <w:t>Email:</w:t>
            </w:r>
          </w:p>
        </w:tc>
        <w:tc>
          <w:tcPr>
            <w:tcW w:w="7320" w:type="dxa"/>
            <w:vAlign w:val="bottom"/>
          </w:tcPr>
          <w:p>
            <w:pPr>
              <w:ind w:left="360"/>
              <w:spacing w:after="0"/>
              <w:rPr>
                <w:sz w:val="20"/>
                <w:szCs w:val="20"/>
                <w:color w:val="auto"/>
              </w:rPr>
            </w:pPr>
            <w:r>
              <w:rPr>
                <w:rFonts w:ascii="Arial" w:cs="Arial" w:eastAsia="Arial" w:hAnsi="Arial"/>
                <w:sz w:val="18"/>
                <w:szCs w:val="18"/>
                <w:color w:val="auto"/>
              </w:rPr>
              <w:t>dfrank@aquabounty.com</w:t>
            </w:r>
          </w:p>
        </w:tc>
      </w:tr>
      <w:tr>
        <w:trPr>
          <w:trHeight w:val="392"/>
        </w:trPr>
        <w:tc>
          <w:tcPr>
            <w:tcW w:w="1940" w:type="dxa"/>
            <w:vAlign w:val="bottom"/>
            <w:gridSpan w:val="3"/>
          </w:tcPr>
          <w:p>
            <w:pPr>
              <w:spacing w:after="0"/>
              <w:rPr>
                <w:sz w:val="20"/>
                <w:szCs w:val="20"/>
                <w:color w:val="auto"/>
              </w:rPr>
            </w:pPr>
            <w:r>
              <w:rPr>
                <w:rFonts w:ascii="Arial" w:cs="Arial" w:eastAsia="Arial" w:hAnsi="Arial"/>
                <w:sz w:val="18"/>
                <w:szCs w:val="18"/>
                <w:color w:val="auto"/>
              </w:rPr>
              <w:t>For the LANDLORD:</w:t>
            </w:r>
          </w:p>
        </w:tc>
        <w:tc>
          <w:tcPr>
            <w:tcW w:w="7320" w:type="dxa"/>
            <w:vAlign w:val="bottom"/>
          </w:tcPr>
          <w:p>
            <w:pPr>
              <w:spacing w:after="0"/>
              <w:rPr>
                <w:sz w:val="24"/>
                <w:szCs w:val="24"/>
                <w:color w:val="auto"/>
              </w:rPr>
            </w:pPr>
          </w:p>
        </w:tc>
      </w:tr>
      <w:tr>
        <w:trPr>
          <w:trHeight w:val="438"/>
        </w:trPr>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80" w:type="dxa"/>
            <w:vAlign w:val="bottom"/>
          </w:tcPr>
          <w:p>
            <w:pPr>
              <w:spacing w:after="0"/>
              <w:rPr>
                <w:sz w:val="24"/>
                <w:szCs w:val="24"/>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Ligia Gabriela Surgeon de Lamastus</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Domicile:</w:t>
            </w:r>
          </w:p>
        </w:tc>
        <w:tc>
          <w:tcPr>
            <w:tcW w:w="7320" w:type="dxa"/>
            <w:vAlign w:val="bottom"/>
          </w:tcPr>
          <w:p>
            <w:pPr>
              <w:ind w:left="360"/>
              <w:spacing w:after="0"/>
              <w:rPr>
                <w:sz w:val="20"/>
                <w:szCs w:val="20"/>
                <w:color w:val="auto"/>
              </w:rPr>
            </w:pPr>
            <w:r>
              <w:rPr>
                <w:rFonts w:ascii="Arial" w:cs="Arial" w:eastAsia="Arial" w:hAnsi="Arial"/>
                <w:sz w:val="18"/>
                <w:szCs w:val="18"/>
                <w:color w:val="auto"/>
                <w:w w:val="90"/>
              </w:rPr>
              <w:t>Lamasur, Los Naranjos, Avenida Central, Boquete, Provincia de Chiriquí, República de Panamá.</w:t>
            </w: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7320" w:type="dxa"/>
            <w:vAlign w:val="bottom"/>
          </w:tcPr>
          <w:p>
            <w:pPr>
              <w:ind w:left="360"/>
              <w:spacing w:after="0"/>
              <w:rPr>
                <w:sz w:val="20"/>
                <w:szCs w:val="20"/>
                <w:color w:val="auto"/>
              </w:rPr>
            </w:pPr>
            <w:r>
              <w:rPr>
                <w:rFonts w:ascii="Arial" w:cs="Arial" w:eastAsia="Arial" w:hAnsi="Arial"/>
                <w:sz w:val="18"/>
                <w:szCs w:val="18"/>
                <w:color w:val="auto"/>
              </w:rPr>
              <w:t>507 6615 3679</w:t>
            </w:r>
          </w:p>
        </w:tc>
      </w:tr>
      <w:tr>
        <w:trPr>
          <w:trHeight w:val="230"/>
        </w:trPr>
        <w:tc>
          <w:tcPr>
            <w:tcW w:w="1940" w:type="dxa"/>
            <w:vAlign w:val="bottom"/>
            <w:gridSpan w:val="3"/>
          </w:tcPr>
          <w:p>
            <w:pPr>
              <w:spacing w:after="0"/>
              <w:rPr>
                <w:sz w:val="20"/>
                <w:szCs w:val="20"/>
                <w:color w:val="auto"/>
              </w:rPr>
            </w:pPr>
            <w:r>
              <w:rPr>
                <w:rFonts w:ascii="Arial" w:cs="Arial" w:eastAsia="Arial" w:hAnsi="Arial"/>
                <w:sz w:val="18"/>
                <w:szCs w:val="18"/>
                <w:color w:val="auto"/>
              </w:rPr>
              <w:t>Email:</w:t>
            </w:r>
          </w:p>
        </w:tc>
        <w:tc>
          <w:tcPr>
            <w:tcW w:w="7320" w:type="dxa"/>
            <w:vAlign w:val="bottom"/>
          </w:tcPr>
          <w:p>
            <w:pPr>
              <w:ind w:left="360"/>
              <w:spacing w:after="0"/>
              <w:rPr>
                <w:sz w:val="20"/>
                <w:szCs w:val="20"/>
                <w:color w:val="auto"/>
              </w:rPr>
            </w:pPr>
            <w:r>
              <w:rPr>
                <w:rFonts w:ascii="Arial" w:cs="Arial" w:eastAsia="Arial" w:hAnsi="Arial"/>
                <w:sz w:val="18"/>
                <w:szCs w:val="18"/>
                <w:color w:val="auto"/>
              </w:rPr>
              <w:t>gabysurgeon@icloud.com</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21. MODIFICATIONS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Agreement can be only modified by written agreement of the Parties. No change in, addition to, or waiver of any of the terms and conditions of this Agreement shall be binding upon any Party unless approved by it in writing.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22: </w:t>
      </w: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Agreement shall not assign any rights or obligations hereunder without the express written consent of the other Party.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23. SEVERABILITY</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If it is determined that any provision of this Agreement is invalid or not binding, in whole or in part, such invalidity shall be only in respect of that provision or portion thereof and the remainder of the same clause or all the remaining provisions of this Agreement shall remain valid, in full force and binding on the Parties.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24. CONFIDENTIALITY</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Parties agree to maintain strict confidentiality of the terms of this Agreement. The Parties shall treat as confidential all information made available to them under this Agreement and shall not disclose such confidential information without the written consent of the owner of that information.</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foregoing restriction on use and disclosure shall not apply to confidential information that, at the time of disclosure or its becoming known to the recipient, the recipient can show:</w:t>
      </w:r>
    </w:p>
    <w:p>
      <w:pPr>
        <w:spacing w:after="0" w:line="7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public knowledge;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Came lawfully into the recipient’s possession otherwise than directly or indirectly from the owner without restriction on its subsequent disclosure or use by the recipient.</w:t>
      </w:r>
    </w:p>
    <w:p>
      <w:pPr>
        <w:sectPr>
          <w:pgSz w:w="11900" w:h="16838" w:orient="portrait"/>
          <w:cols w:equalWidth="0" w:num="1">
            <w:col w:w="11380"/>
          </w:cols>
          <w:pgMar w:left="240" w:top="270"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restriction on use and disclosure shall be maintained by the recipient until the confidential information:</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Becomes public knowledge through no fault or action on the recipient’s part;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Comes into the recipient’s possession free from any restriction from a third party (other than the owner or its affiliate) who has the lawful right to make such disclosure.</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Notwithstanding the foregoing restriction on use and disclosure, a party may disclose confidential information to any competent governmental agencies having authority to require such disclosure but informing such governmental agencies of the confidential nature of such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25: COUNTERPARTS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Agreement may be executed in counterparts (and by different parties hereto in different counterparts), each of which shall constitute an original, but all of which when taken together shall constitute a single contract. This Agreement shall become effective when it shall have been executed by the Parties in their respective counterparts, and when taken together constitute a single document. Delivery of an executed counterpart of a signature page of this Agreement by telecopy or electronic transmission shall be effective as delivery of a manually executed counterpart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LIGIA GABRIELA SURGEON DE LAMASTUS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FRANK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AQUA BOUNTY PANAMA S. DE R.L.</w:t>
      </w:r>
    </w:p>
    <w:p>
      <w:pPr>
        <w:sectPr>
          <w:pgSz w:w="11900" w:h="16838" w:orient="portrait"/>
          <w:cols w:equalWidth="0" w:num="1">
            <w:col w:w="11360"/>
          </w:cols>
          <w:pgMar w:left="240" w:top="274" w:right="299"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color w:val="auto"/>
        </w:rPr>
        <w:t>[AquaBounty Technologies, Inc.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Jennifer Thompson</w:t>
      </w:r>
    </w:p>
    <w:p>
      <w:pPr>
        <w:spacing w:after="0" w:line="234"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AquaBounty Technologies, Inc.</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Amendment No. 2 to Form 10-12B</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Filed August 19, 2014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File No. 001-36426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Set forth below are the responses of AquaBounty Technologies,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 the comments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Division of Corporation Finance contained in the Staff’s letter dated September 3, 2014 relating to Amendment No. 2 to the Company’s Registration Statement on Form 10. We are also filing simultaneously herewith Amendment No. 3 (“</w:t>
      </w:r>
      <w:r>
        <w:rPr>
          <w:rFonts w:ascii="Arial" w:cs="Arial" w:eastAsia="Arial" w:hAnsi="Arial"/>
          <w:sz w:val="16"/>
          <w:szCs w:val="16"/>
          <w:b w:val="1"/>
          <w:bCs w:val="1"/>
          <w:i w:val="1"/>
          <w:iCs w:val="1"/>
          <w:color w:val="auto"/>
        </w:rPr>
        <w:t>Amendment No. 3</w:t>
      </w:r>
      <w:r>
        <w:rPr>
          <w:rFonts w:ascii="Arial" w:cs="Arial" w:eastAsia="Arial" w:hAnsi="Arial"/>
          <w:sz w:val="16"/>
          <w:szCs w:val="16"/>
          <w:color w:val="auto"/>
        </w:rPr>
        <w:t>”) to the Registration Statement on Form 10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Capitalized terms used but not defined herein have the meanings set forth in the Registration Statement. For reference, the Staff’s comments are provided below in bold immediately prior to the Company’s responses.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 page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Environment, page 8</w:t>
      </w:r>
    </w:p>
    <w:p>
      <w:pPr>
        <w:spacing w:after="0" w:line="127" w:lineRule="exact"/>
        <w:rPr>
          <w:sz w:val="20"/>
          <w:szCs w:val="20"/>
          <w:color w:val="auto"/>
        </w:rPr>
      </w:pPr>
    </w:p>
    <w:p>
      <w:pPr>
        <w:ind w:left="460" w:hanging="452"/>
        <w:spacing w:after="0" w:line="273"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We note your response to our prior comment 1. Please reconcile your disclosure with respect to the status of the NADA process by reference to the Center for Veterinary Medicine Guidance for Industry #132, The Administrative New Animal Drug Application Process, available on the FDA website. In this regard, please disclose the substance of the first paragraph on page 4 of your response. Additionally, please disclose whether you have submitted an Administrative NADA, and if not, when and under what circumstances you anticipate submitting an Administrative NADA. Finally, please explain why you are unable to determine the associated timing for approval of the NADA, as it appears from the FDA guidance that NADAs are approved or not approved within 180 days after filing of the application “or within such additional period as FDA and the sponsor may agree upon ….”</w:t>
      </w:r>
    </w:p>
    <w:p>
      <w:pPr>
        <w:sectPr>
          <w:pgSz w:w="11900" w:h="16838" w:orient="portrait"/>
          <w:cols w:equalWidth="0" w:num="1">
            <w:col w:w="11360"/>
          </w:cols>
          <w:pgMar w:left="240" w:top="125" w:right="2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pages 10 and 11 of Amendment No. 3.</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addition, the Company notes that it is unable to determine the timing for approval of the NADA because, while the Company believes that it has submitted to the FDA all information for the FDA to approve the NADA, the FDA has not formally acknowledged acceptance of information responsive to all requirements of the NADA, despite multiple requests from the Company. Whether and when the FDA formally acknowledges acceptance is outside of the Company’s control. If the FDA were to acknowledge acceptance, the Company will submit a formal letter to the FDA requesting approval of the NADA, which would trigger the 180-day period specified in the Center for Veterinary Medicine Guidance for Industry #132.</w:t>
      </w:r>
    </w:p>
    <w:p>
      <w:pPr>
        <w:spacing w:after="0" w:line="74" w:lineRule="exact"/>
        <w:rPr>
          <w:sz w:val="20"/>
          <w:szCs w:val="20"/>
          <w:color w:val="auto"/>
        </w:rPr>
      </w:pPr>
    </w:p>
    <w:p>
      <w:pPr>
        <w:ind w:left="460" w:right="120" w:hanging="452"/>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note your response to our prior comment 6. Please substantiate your statement on page 10 that “[t]he VMAC </w:t>
      </w:r>
      <w:r>
        <w:rPr>
          <w:rFonts w:ascii="Arial" w:cs="Arial" w:eastAsia="Arial" w:hAnsi="Arial"/>
          <w:sz w:val="18"/>
          <w:szCs w:val="18"/>
          <w:b w:val="1"/>
          <w:bCs w:val="1"/>
          <w:i w:val="1"/>
          <w:iCs w:val="1"/>
          <w:color w:val="auto"/>
        </w:rPr>
        <w:t>concluded</w:t>
      </w:r>
      <w:r>
        <w:rPr>
          <w:rFonts w:ascii="Arial" w:cs="Arial" w:eastAsia="Arial" w:hAnsi="Arial"/>
          <w:sz w:val="18"/>
          <w:szCs w:val="18"/>
          <w:b w:val="1"/>
          <w:bCs w:val="1"/>
          <w:color w:val="auto"/>
        </w:rPr>
        <w:t xml:space="preserve"> that AquAdvantage® Salmon … does not pose a threat to the environment under the conditions in which it would live and be harvested (emphasis added).” In this regard, we note your revised disclosure that the VMAC did not vote or make a recommendation to approve the NADA. Alternatively, please revise your characterization of the VMAC meeting and Chairman’s Report consistent with the scope and purpose of the VMAC</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 10 of Amendment No. 3 to describe the statements included in the Chairman’s Report delivered following the VMAC’s September 2010 public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Regulatory Approvals, page 10</w:t>
      </w:r>
    </w:p>
    <w:p>
      <w:pPr>
        <w:spacing w:after="0" w:line="127" w:lineRule="exact"/>
        <w:rPr>
          <w:sz w:val="20"/>
          <w:szCs w:val="20"/>
          <w:color w:val="auto"/>
        </w:rPr>
      </w:pPr>
    </w:p>
    <w:p>
      <w:pPr>
        <w:ind w:left="460" w:right="480" w:hanging="452"/>
        <w:spacing w:after="0" w:line="26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We note your disclosure here that you have not requested approval for the production or sale of AquAdvantage® Salmon in any markets besides Canada and the United States. Please tell us whether regulatory approval is required to commercially produce and export AquAdvantage® Salmon in Panama, where your demonstration farm is located</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advises the Staff that it currently has all regulatory approvals necessary to operate its demonstration farm in Panama. While the Company does not have current plans to commercially produce or export AquAdvantage® Salmon eggs at its Panama facility, such commercial production and export would require the approval of Panamanian regulatory authorities. The regulatory process for such approval has not yet been finalized; however, the Company advises the Staff that it understands that Panamanian regulators have remained in contact with both U.S. and Canadian regulators regarding AquAdvantage® Salmon and that the Company believes that Panamanian regulators are awaiting final action from the FDA before establishing a formal regulatory review process for commercial production or export of AquAdvantage® Salmon in Panama.</w:t>
      </w:r>
    </w:p>
    <w:p>
      <w:pPr>
        <w:sectPr>
          <w:pgSz w:w="11900" w:h="16838" w:orient="portrait"/>
          <w:cols w:equalWidth="0" w:num="1">
            <w:col w:w="11420"/>
          </w:cols>
          <w:pgMar w:left="240" w:top="27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disclosure on page 11 of Amendment No. 3 to reflect the response above.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page 12</w:t>
      </w:r>
    </w:p>
    <w:p>
      <w:pPr>
        <w:spacing w:after="0" w:line="12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We note your response to our prior comment 11. Please disclose the substance of your response.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In response to the Staff’s comment, the Company has revised the disclosure on page 13 of Amendment No. 3 to include the requested disclosure.</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 to the Staff’s comments, the Company acknowledges that:</w:t>
      </w:r>
    </w:p>
    <w:p>
      <w:pPr>
        <w:spacing w:after="0" w:line="13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call Brad Brasser at (312) 269-4252 should you wish to discuss the matters addressed above or other issues relating to the subject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attention to this matter.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Ronald L. Stotish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Ronald L. Stotish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460" w:right="9860" w:hanging="452"/>
        <w:spacing w:after="0" w:line="381" w:lineRule="auto"/>
        <w:tabs>
          <w:tab w:leader="none" w:pos="449"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Brad Brasser </w:t>
      </w:r>
      <w:r>
        <w:rPr>
          <w:rFonts w:ascii="Arial" w:cs="Arial" w:eastAsia="Arial" w:hAnsi="Arial"/>
          <w:sz w:val="15"/>
          <w:szCs w:val="15"/>
          <w:i w:val="1"/>
          <w:iCs w:val="1"/>
          <w:color w:val="auto"/>
        </w:rPr>
        <w:t>Jones Day</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2"/>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1."/>
      <w:numFmt w:val="decimal"/>
      <w:start w:val="3"/>
    </w:lvl>
  </w:abstractNum>
  <w:abstractNum w:abstractNumId="45">
    <w:nsid w:val="6DE91B18"/>
    <w:multiLevelType w:val="hybridMultilevel"/>
    <w:lvl w:ilvl="0">
      <w:lvlJc w:val="left"/>
      <w:lvlText w:val="%1."/>
      <w:numFmt w:val="decimal"/>
      <w:start w:val="4"/>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2019-12-08T10:37:18Z</dcterms:created>
  <dcterms:modified xsi:type="dcterms:W3CDTF">2019-12-08T10:37:18Z</dcterms:modified>
</cp:coreProperties>
</file>